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228" w:rsidRDefault="007A4228">
      <w:pPr>
        <w:widowControl w:val="0"/>
        <w:pBdr>
          <w:top w:val="nil"/>
          <w:left w:val="nil"/>
          <w:bottom w:val="nil"/>
          <w:right w:val="nil"/>
          <w:between w:val="nil"/>
        </w:pBdr>
        <w:spacing w:before="0" w:line="276" w:lineRule="auto"/>
        <w:ind w:firstLine="0"/>
        <w:jc w:val="left"/>
        <w:rPr>
          <w:rFonts w:ascii="Arial" w:eastAsia="Arial" w:hAnsi="Arial" w:cs="Arial"/>
          <w:color w:val="000000"/>
          <w:sz w:val="22"/>
          <w:szCs w:val="22"/>
        </w:rPr>
      </w:pPr>
    </w:p>
    <w:tbl>
      <w:tblPr>
        <w:tblStyle w:val="a"/>
        <w:tblW w:w="10054" w:type="dxa"/>
        <w:jc w:val="center"/>
        <w:tblLayout w:type="fixed"/>
        <w:tblLook w:val="0000" w:firstRow="0" w:lastRow="0" w:firstColumn="0" w:lastColumn="0" w:noHBand="0" w:noVBand="0"/>
      </w:tblPr>
      <w:tblGrid>
        <w:gridCol w:w="4372"/>
        <w:gridCol w:w="5682"/>
      </w:tblGrid>
      <w:tr w:rsidR="007A4228">
        <w:trPr>
          <w:jc w:val="center"/>
        </w:trPr>
        <w:tc>
          <w:tcPr>
            <w:tcW w:w="4372" w:type="dxa"/>
          </w:tcPr>
          <w:p w:rsidR="007A4228" w:rsidRDefault="00656025">
            <w:pPr>
              <w:keepLines/>
              <w:spacing w:before="0"/>
              <w:ind w:firstLine="0"/>
              <w:jc w:val="center"/>
              <w:rPr>
                <w:b/>
                <w:sz w:val="26"/>
                <w:szCs w:val="26"/>
              </w:rPr>
            </w:pPr>
            <w:r>
              <w:rPr>
                <w:b/>
                <w:sz w:val="26"/>
                <w:szCs w:val="26"/>
              </w:rPr>
              <w:t>HỘI ĐỒNG NHÂN DÂN</w:t>
            </w:r>
          </w:p>
          <w:p w:rsidR="007A4228" w:rsidRDefault="00656025">
            <w:pPr>
              <w:keepLines/>
              <w:spacing w:before="0"/>
              <w:ind w:firstLine="0"/>
              <w:jc w:val="center"/>
              <w:rPr>
                <w:sz w:val="26"/>
                <w:szCs w:val="26"/>
              </w:rPr>
            </w:pPr>
            <w:r>
              <w:rPr>
                <w:b/>
                <w:sz w:val="26"/>
                <w:szCs w:val="26"/>
              </w:rPr>
              <w:t>TỈNH LAI CHÂU</w:t>
            </w:r>
          </w:p>
        </w:tc>
        <w:tc>
          <w:tcPr>
            <w:tcW w:w="5682" w:type="dxa"/>
          </w:tcPr>
          <w:p w:rsidR="007A4228" w:rsidRDefault="00656025">
            <w:pPr>
              <w:keepLines/>
              <w:spacing w:before="0"/>
              <w:ind w:right="4" w:firstLine="24"/>
              <w:jc w:val="center"/>
              <w:rPr>
                <w:b/>
                <w:sz w:val="24"/>
                <w:szCs w:val="24"/>
              </w:rPr>
            </w:pPr>
            <w:r>
              <w:rPr>
                <w:b/>
                <w:sz w:val="26"/>
                <w:szCs w:val="26"/>
              </w:rPr>
              <w:t>CỘNG HÒA XÃ HỘI CHỦ NGHĨA VIỆT NAM</w:t>
            </w:r>
          </w:p>
          <w:p w:rsidR="007A4228" w:rsidRDefault="00656025">
            <w:pPr>
              <w:keepLines/>
              <w:tabs>
                <w:tab w:val="center" w:pos="2743"/>
              </w:tabs>
              <w:spacing w:before="0"/>
              <w:ind w:right="4" w:firstLine="24"/>
              <w:rPr>
                <w:b/>
              </w:rPr>
            </w:pPr>
            <w:r>
              <w:rPr>
                <w:b/>
              </w:rPr>
              <w:tab/>
              <w:t>Độc lập - Tự do - Hạnh phúc</w:t>
            </w:r>
          </w:p>
        </w:tc>
      </w:tr>
      <w:tr w:rsidR="007A4228">
        <w:trPr>
          <w:jc w:val="center"/>
        </w:trPr>
        <w:tc>
          <w:tcPr>
            <w:tcW w:w="4372" w:type="dxa"/>
            <w:shd w:val="clear" w:color="auto" w:fill="auto"/>
          </w:tcPr>
          <w:p w:rsidR="007A4228" w:rsidRDefault="00DC5AEB">
            <w:pPr>
              <w:keepLines/>
              <w:spacing w:before="200"/>
              <w:ind w:firstLine="0"/>
              <w:jc w:val="center"/>
            </w:pPr>
            <w:r>
              <w:rPr>
                <w:noProof/>
                <w:lang w:val="en-US"/>
              </w:rPr>
              <mc:AlternateContent>
                <mc:Choice Requires="wps">
                  <w:drawing>
                    <wp:anchor distT="0" distB="0" distL="114300" distR="114300" simplePos="0" relativeHeight="251658240" behindDoc="0" locked="0" layoutInCell="1" hidden="0" allowOverlap="1" wp14:anchorId="5E40473A" wp14:editId="62F9547C">
                      <wp:simplePos x="0" y="0"/>
                      <wp:positionH relativeFrom="column">
                        <wp:posOffset>810895</wp:posOffset>
                      </wp:positionH>
                      <wp:positionV relativeFrom="paragraph">
                        <wp:posOffset>-3810</wp:posOffset>
                      </wp:positionV>
                      <wp:extent cx="952500" cy="0"/>
                      <wp:effectExtent l="0" t="0" r="19050" b="19050"/>
                      <wp:wrapNone/>
                      <wp:docPr id="3" name="Straight Arrow Connector 3"/>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3.85pt;margin-top:-.3pt;width:75pt;height:0;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">
                      <v:stroke startarrowwidth="narrow" startarrowlength="short" endarrowwidth="narrow" endarrowlength="short"/>
                    </v:shape>
                  </w:pict>
                </mc:Fallback>
              </mc:AlternateContent>
            </w:r>
            <w:r w:rsidR="00656025">
              <w:t>Số:</w:t>
            </w:r>
            <w:r w:rsidR="00656025">
              <w:rPr>
                <w:b/>
              </w:rPr>
              <w:t xml:space="preserve">              </w:t>
            </w:r>
            <w:r w:rsidR="00656025">
              <w:t>/2025/NQ-HĐND</w:t>
            </w:r>
          </w:p>
        </w:tc>
        <w:tc>
          <w:tcPr>
            <w:tcW w:w="5682" w:type="dxa"/>
          </w:tcPr>
          <w:p w:rsidR="007A4228" w:rsidRDefault="00DC5AEB">
            <w:pPr>
              <w:keepLines/>
              <w:spacing w:before="200"/>
              <w:jc w:val="center"/>
              <w:rPr>
                <w:i/>
              </w:rPr>
            </w:pPr>
            <w:r>
              <w:rPr>
                <w:noProof/>
                <w:lang w:val="en-US"/>
              </w:rPr>
              <mc:AlternateContent>
                <mc:Choice Requires="wps">
                  <w:drawing>
                    <wp:anchor distT="0" distB="0" distL="114300" distR="114300" simplePos="0" relativeHeight="251659264" behindDoc="0" locked="0" layoutInCell="1" hidden="0" allowOverlap="1" wp14:anchorId="593C39BA" wp14:editId="767F8A94">
                      <wp:simplePos x="0" y="0"/>
                      <wp:positionH relativeFrom="column">
                        <wp:posOffset>787400</wp:posOffset>
                      </wp:positionH>
                      <wp:positionV relativeFrom="paragraph">
                        <wp:posOffset>-3810</wp:posOffset>
                      </wp:positionV>
                      <wp:extent cx="1914525" cy="0"/>
                      <wp:effectExtent l="0" t="0" r="9525" b="19050"/>
                      <wp:wrapNone/>
                      <wp:docPr id="1" name="Straight Arrow Connector 1"/>
                      <wp:cNvGraphicFramePr/>
                      <a:graphic xmlns:a="http://schemas.openxmlformats.org/drawingml/2006/main">
                        <a:graphicData uri="http://schemas.microsoft.com/office/word/2010/wordprocessingShape">
                          <wps:wsp>
                            <wps:cNvCnPr/>
                            <wps:spPr>
                              <a:xfrm>
                                <a:off x="0" y="0"/>
                                <a:ext cx="1914525"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62pt;margin-top:-.3pt;width:15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">
                      <v:stroke startarrowwidth="narrow" startarrowlength="short" endarrowwidth="narrow" endarrowlength="short"/>
                    </v:shape>
                  </w:pict>
                </mc:Fallback>
              </mc:AlternateContent>
            </w:r>
            <w:r w:rsidR="00656025">
              <w:rPr>
                <w:i/>
              </w:rPr>
              <w:t xml:space="preserve">Lai Châu, ngày       tháng       năm 2025 </w:t>
            </w:r>
          </w:p>
        </w:tc>
      </w:tr>
    </w:tbl>
    <w:p w:rsidR="007A4228" w:rsidRDefault="007A4228">
      <w:pPr>
        <w:keepLines/>
        <w:tabs>
          <w:tab w:val="left" w:pos="1335"/>
        </w:tabs>
        <w:spacing w:before="0"/>
        <w:ind w:firstLine="0"/>
        <w:rPr>
          <w:b/>
        </w:rPr>
      </w:pPr>
    </w:p>
    <w:tbl>
      <w:tblPr>
        <w:tblStyle w:val="a0"/>
        <w:tblW w:w="1431"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
      </w:tblGrid>
      <w:tr w:rsidR="007A4228">
        <w:trPr>
          <w:trHeight w:val="346"/>
        </w:trPr>
        <w:tc>
          <w:tcPr>
            <w:tcW w:w="1431" w:type="dxa"/>
          </w:tcPr>
          <w:p w:rsidR="007A4228" w:rsidRDefault="00656025">
            <w:pPr>
              <w:keepLines/>
              <w:tabs>
                <w:tab w:val="left" w:pos="1335"/>
              </w:tabs>
              <w:spacing w:before="0"/>
              <w:ind w:firstLine="0"/>
              <w:jc w:val="center"/>
              <w:rPr>
                <w:b/>
              </w:rPr>
            </w:pPr>
            <w:r>
              <w:rPr>
                <w:b/>
              </w:rPr>
              <w:t>Dự thảo</w:t>
            </w:r>
          </w:p>
        </w:tc>
      </w:tr>
    </w:tbl>
    <w:p w:rsidR="007A4228" w:rsidRDefault="00656025">
      <w:pPr>
        <w:keepLines/>
        <w:spacing w:before="0"/>
        <w:ind w:firstLine="0"/>
        <w:jc w:val="center"/>
        <w:rPr>
          <w:b/>
        </w:rPr>
      </w:pPr>
      <w:r>
        <w:rPr>
          <w:b/>
        </w:rPr>
        <w:t xml:space="preserve">         NGHỊ QUYẾT</w:t>
      </w:r>
    </w:p>
    <w:p w:rsidR="007A4228" w:rsidRDefault="00656025" w:rsidP="00D84ADA">
      <w:pPr>
        <w:spacing w:before="0"/>
        <w:ind w:firstLine="0"/>
        <w:jc w:val="center"/>
        <w:rPr>
          <w:b/>
        </w:rPr>
      </w:pPr>
      <w:r>
        <w:rPr>
          <w:b/>
        </w:rPr>
        <w:t xml:space="preserve">Hỗ trợ học sinh ở bán trú tại các xã, thôn, bản </w:t>
      </w:r>
      <w:r w:rsidR="00D84ADA">
        <w:rPr>
          <w:b/>
        </w:rPr>
        <w:t>khu vực III</w:t>
      </w:r>
      <w:r w:rsidR="00D84ADA">
        <w:rPr>
          <w:b/>
          <w:lang w:val="en-US"/>
        </w:rPr>
        <w:t xml:space="preserve"> </w:t>
      </w:r>
      <w:r>
        <w:rPr>
          <w:b/>
        </w:rPr>
        <w:t xml:space="preserve">chuyển thành các xã, thôn, bản khu vực I </w:t>
      </w:r>
      <w:r w:rsidR="004D6CD6">
        <w:rPr>
          <w:b/>
          <w:lang w:val="en-US"/>
        </w:rPr>
        <w:t xml:space="preserve">từ </w:t>
      </w:r>
      <w:r>
        <w:rPr>
          <w:b/>
        </w:rPr>
        <w:t>năm học 2025- 2026 đến hết năm học 2027-2028 trên địa bàn tỉnh.</w:t>
      </w:r>
    </w:p>
    <w:p w:rsidR="007A4228" w:rsidRDefault="00656025">
      <w:pPr>
        <w:spacing w:after="280" w:line="276" w:lineRule="auto"/>
        <w:ind w:firstLine="0"/>
        <w:jc w:val="center"/>
        <w:rPr>
          <w:b/>
        </w:rPr>
      </w:pP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2558415</wp:posOffset>
                </wp:positionH>
                <wp:positionV relativeFrom="paragraph">
                  <wp:posOffset>15240</wp:posOffset>
                </wp:positionV>
                <wp:extent cx="981075" cy="0"/>
                <wp:effectExtent l="0" t="0" r="9525" b="19050"/>
                <wp:wrapNone/>
                <wp:docPr id="2" name="Straight Arrow Connector 2"/>
                <wp:cNvGraphicFramePr/>
                <a:graphic xmlns:a="http://schemas.openxmlformats.org/drawingml/2006/main">
                  <a:graphicData uri="http://schemas.microsoft.com/office/word/2010/wordprocessingShape">
                    <wps:wsp>
                      <wps:cNvCnPr/>
                      <wps:spPr>
                        <a:xfrm>
                          <a:off x="0" y="0"/>
                          <a:ext cx="981075" cy="0"/>
                        </a:xfrm>
                        <a:prstGeom prst="straightConnector1">
                          <a:avLst/>
                        </a:prstGeom>
                        <a:noFill/>
                        <a:ln w="9525" cap="flat" cmpd="sng">
                          <a:solidFill>
                            <a:srgbClr val="4A7DBA"/>
                          </a:solidFill>
                          <a:prstDash val="solid"/>
                          <a:round/>
                          <a:headEnd type="none" w="sm" len="sm"/>
                          <a:tailEnd type="none" w="sm" len="sm"/>
                        </a:ln>
                      </wps:spPr>
                      <wps:bodyPr/>
                    </wps:wsp>
                  </a:graphicData>
                </a:graphic>
                <wp14:sizeRelV relativeFrom="margin">
                  <wp14:pctHeight>0</wp14:pctHeight>
                </wp14:sizeRelV>
              </wp:anchor>
            </w:drawing>
          </mc:Choice>
          <mc:Fallback>
            <w:pict>
              <v:shape id="Straight Arrow Connector 2" o:spid="_x0000_s1026" type="#_x0000_t32" style="position:absolute;margin-left:201.45pt;margin-top:1.2pt;width:77.25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" strokecolor="#4a7dba">
                <v:stroke startarrowwidth="narrow" startarrowlength="short" endarrowwidth="narrow" endarrowlength="short"/>
              </v:shape>
            </w:pict>
          </mc:Fallback>
        </mc:AlternateContent>
      </w:r>
    </w:p>
    <w:p w:rsidR="007A4228" w:rsidRDefault="00656025">
      <w:pPr>
        <w:spacing w:before="0"/>
        <w:ind w:firstLine="0"/>
        <w:jc w:val="center"/>
        <w:rPr>
          <w:b/>
        </w:rPr>
      </w:pPr>
      <w:r>
        <w:rPr>
          <w:b/>
        </w:rPr>
        <w:t>HỘI ĐỒNG NHÂN DÂN TỈNH LAI CHÂU</w:t>
      </w:r>
      <w:r>
        <w:rPr>
          <w:b/>
        </w:rPr>
        <w:br/>
        <w:t>KHÓA XV, KỲ HỌP THỨ HAI MƯƠI TÁM</w:t>
      </w:r>
    </w:p>
    <w:p w:rsidR="007A4228" w:rsidRDefault="007A4228">
      <w:pPr>
        <w:spacing w:before="0" w:line="276" w:lineRule="auto"/>
        <w:ind w:firstLine="0"/>
        <w:jc w:val="center"/>
      </w:pPr>
    </w:p>
    <w:p w:rsidR="007A4228" w:rsidRDefault="00656025">
      <w:pPr>
        <w:spacing w:line="276" w:lineRule="auto"/>
        <w:ind w:firstLine="777"/>
      </w:pPr>
      <w:r>
        <w:rPr>
          <w:i/>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7A4228" w:rsidRDefault="00656025">
      <w:pPr>
        <w:spacing w:line="276" w:lineRule="auto"/>
        <w:ind w:firstLine="777"/>
      </w:pPr>
      <w:r>
        <w:rPr>
          <w:i/>
        </w:rPr>
        <w:t>Căn cứ Luật Ban hành văn bản quy phạm pháp luật ngày 22 tháng 6 năm 2015; Luật sửa đổi, bổ sung một số điều của Luật Ban hành văn bản quy phạm pháp luật ngày 18 tháng 6 năm 2020;</w:t>
      </w:r>
    </w:p>
    <w:p w:rsidR="007A4228" w:rsidRDefault="00656025">
      <w:pPr>
        <w:spacing w:line="276" w:lineRule="auto"/>
        <w:ind w:firstLine="777"/>
      </w:pPr>
      <w:r>
        <w:rPr>
          <w:i/>
        </w:rPr>
        <w:t>Căn cứ Luật Giáo dục ngày 14 tháng 6 năm 2019;</w:t>
      </w:r>
    </w:p>
    <w:p w:rsidR="007A4228" w:rsidRDefault="00656025">
      <w:pPr>
        <w:spacing w:line="276" w:lineRule="auto"/>
        <w:ind w:firstLine="777"/>
      </w:pPr>
      <w:r>
        <w:rPr>
          <w:i/>
        </w:rPr>
        <w:t>Căn cứ Luật Ngân sách nhà nước ngày 25 tháng 6 năm 2015;</w:t>
      </w:r>
    </w:p>
    <w:p w:rsidR="007A4228" w:rsidRDefault="00656025">
      <w:pPr>
        <w:spacing w:line="276" w:lineRule="auto"/>
        <w:ind w:firstLine="777"/>
        <w:rPr>
          <w:i/>
        </w:rPr>
      </w:pPr>
      <w:r>
        <w:rPr>
          <w:i/>
        </w:rPr>
        <w:t>Căn cứ Nghị định số 163/2016/NĐ-CP ngày 21 tháng 12 năm 2016 của Chính phủ quy định chi tiết thi hành một số điều của Luật Ngân sách nhà nước;</w:t>
      </w:r>
    </w:p>
    <w:p w:rsidR="007A4228" w:rsidRDefault="00656025">
      <w:pPr>
        <w:spacing w:line="276" w:lineRule="auto"/>
        <w:rPr>
          <w:i/>
        </w:rPr>
      </w:pPr>
      <w:r>
        <w:rPr>
          <w:i/>
        </w:rPr>
        <w:t>X</w:t>
      </w:r>
      <w:r w:rsidR="00B64051">
        <w:rPr>
          <w:i/>
        </w:rPr>
        <w:t xml:space="preserve">ét Tờ trình số       /TTr-UBND </w:t>
      </w:r>
      <w:r>
        <w:rPr>
          <w:i/>
        </w:rPr>
        <w:t xml:space="preserve">ngày      tháng     năm 2025 của Ủy ban nhân dân tỉnh về việc đề nghị ban hành </w:t>
      </w:r>
      <w:r w:rsidR="000510BF" w:rsidRPr="000510BF">
        <w:rPr>
          <w:i/>
          <w:lang w:val="en-US"/>
        </w:rPr>
        <w:t>Nghị quyết h</w:t>
      </w:r>
      <w:r w:rsidR="000510BF" w:rsidRPr="000510BF">
        <w:rPr>
          <w:i/>
        </w:rPr>
        <w:t>ỗ trợ học sinh ở bán trú tại các xã, thôn, bản khu vực III</w:t>
      </w:r>
      <w:r w:rsidR="000510BF" w:rsidRPr="000510BF">
        <w:rPr>
          <w:i/>
          <w:lang w:val="en-US"/>
        </w:rPr>
        <w:t xml:space="preserve"> </w:t>
      </w:r>
      <w:r w:rsidR="000510BF" w:rsidRPr="000510BF">
        <w:rPr>
          <w:i/>
        </w:rPr>
        <w:t xml:space="preserve">chuyển thành các xã, thôn, bản khu vực I </w:t>
      </w:r>
      <w:r w:rsidR="00937B19">
        <w:rPr>
          <w:i/>
          <w:lang w:val="en-US"/>
        </w:rPr>
        <w:t xml:space="preserve">từ </w:t>
      </w:r>
      <w:r w:rsidR="000510BF" w:rsidRPr="000510BF">
        <w:rPr>
          <w:i/>
        </w:rPr>
        <w:t>năm học 2025- 2026 đến hết năm học 2027-2028 trên địa bàn tỉnh</w:t>
      </w:r>
      <w:r>
        <w:rPr>
          <w:i/>
        </w:rPr>
        <w:t>; Báo cáo thẩm tra số     /BC-HĐND ngày      tháng     năm 2025 của Ban Văn hóa - Xã hội Hội đồng nhân dân tỉnh; ý kiến thảo luận của đại biểu Hội đồng nhân dân tỉnh tại kỳ họp.</w:t>
      </w:r>
    </w:p>
    <w:p w:rsidR="007A4228" w:rsidRDefault="00656025">
      <w:pPr>
        <w:spacing w:line="276" w:lineRule="auto"/>
        <w:ind w:firstLine="0"/>
        <w:jc w:val="center"/>
        <w:rPr>
          <w:i/>
        </w:rPr>
      </w:pPr>
      <w:r>
        <w:rPr>
          <w:b/>
          <w:i/>
        </w:rPr>
        <w:t>QUYẾT NGHỊ:</w:t>
      </w:r>
    </w:p>
    <w:p w:rsidR="007A4228" w:rsidRDefault="007A4228">
      <w:pPr>
        <w:spacing w:before="0"/>
        <w:rPr>
          <w:b/>
        </w:rPr>
      </w:pPr>
    </w:p>
    <w:p w:rsidR="007A4228" w:rsidRDefault="00656025">
      <w:pPr>
        <w:spacing w:before="0"/>
      </w:pPr>
      <w:r>
        <w:rPr>
          <w:b/>
        </w:rPr>
        <w:t>Điều 1.</w:t>
      </w:r>
      <w:r>
        <w:t> Phạm vi điều chỉnh, đối tượng áp dụng</w:t>
      </w:r>
    </w:p>
    <w:p w:rsidR="007A4228" w:rsidRDefault="00656025">
      <w:pPr>
        <w:spacing w:before="0"/>
      </w:pPr>
      <w:r>
        <w:t>1. Phạm vi điều chỉnh</w:t>
      </w:r>
    </w:p>
    <w:p w:rsidR="007A4228" w:rsidRPr="00E92F42" w:rsidRDefault="00656025">
      <w:pPr>
        <w:spacing w:before="0"/>
        <w:rPr>
          <w:highlight w:val="white"/>
        </w:rPr>
      </w:pPr>
      <w:bookmarkStart w:id="0" w:name="_qzuqdfp3y7fr" w:colFirst="0" w:colLast="0"/>
      <w:bookmarkEnd w:id="0"/>
      <w:r>
        <w:rPr>
          <w:highlight w:val="white"/>
        </w:rPr>
        <w:t xml:space="preserve">Nghị quyết này quy định chính sách hỗ trợ tiền ăn cho trẻ em mầm non từ 24 tháng tuổi trở lên, học sinh phổ thông đang học tại các cơ sở giáo dục mầm </w:t>
      </w:r>
      <w:r>
        <w:rPr>
          <w:highlight w:val="white"/>
        </w:rPr>
        <w:lastRenderedPageBreak/>
        <w:t xml:space="preserve">non, cơ sở giáo dục phổ thông công lập thuộc các xã, thôn, bản khu vực III chuyển thành các xã, thôn, bản khu vực I theo Quyết định số 861/QĐ-TTg, ngày 04 tháng 6 năm 2021 của Thủ tướng Chính phủ phê duyệt danh sách các xã khu vực III, khu vực II, khu vực I thuộc vùng đồng bào dân tộc thiểu số và miền núi giai đoạn 2021-2025 và Quyết định số 612/QĐ-UBDT, ngày 16 tháng 9 năm 2021 của Bộ trưởng, Chủ nhiệm Ủy ban Dân tộc </w:t>
      </w:r>
      <w:r>
        <w:rPr>
          <w:i/>
        </w:rPr>
        <w:t>(nay là Bộ Dân tộc và Tôn giáo)</w:t>
      </w:r>
      <w:r>
        <w:rPr>
          <w:highlight w:val="white"/>
        </w:rPr>
        <w:t xml:space="preserve"> phê </w:t>
      </w:r>
      <w:r w:rsidRPr="00E92F42">
        <w:rPr>
          <w:highlight w:val="white"/>
        </w:rPr>
        <w:t>duyệt danh sách các thôn đặc biệt khó khăn vùng đồng bào dân tộc thiểu số và miền núi giai đoạn 2021-2025</w:t>
      </w:r>
      <w:r w:rsidR="004B2535" w:rsidRPr="00E92F42">
        <w:rPr>
          <w:highlight w:val="white"/>
          <w:lang w:val="en-US"/>
        </w:rPr>
        <w:t xml:space="preserve">; </w:t>
      </w:r>
      <w:r w:rsidR="004B2535" w:rsidRPr="00E92F42">
        <w:rPr>
          <w:highlight w:val="white"/>
        </w:rPr>
        <w:t>giai đoạn 2026-2030</w:t>
      </w:r>
      <w:r w:rsidRPr="00E92F42">
        <w:rPr>
          <w:highlight w:val="white"/>
        </w:rPr>
        <w:t xml:space="preserve"> </w:t>
      </w:r>
      <w:r w:rsidR="004B2535" w:rsidRPr="00E92F42">
        <w:rPr>
          <w:spacing w:val="3"/>
          <w:shd w:val="clear" w:color="auto" w:fill="FFFFFF"/>
        </w:rPr>
        <w:t xml:space="preserve">và các Quyết định sửa đổi bổ sung của cấp có thẩm quyền </w:t>
      </w:r>
      <w:r w:rsidR="004B2535" w:rsidRPr="00B64051">
        <w:rPr>
          <w:i/>
          <w:spacing w:val="3"/>
          <w:shd w:val="clear" w:color="auto" w:fill="FFFFFF"/>
        </w:rPr>
        <w:t>(nếu có)</w:t>
      </w:r>
      <w:r w:rsidRPr="00B64051">
        <w:rPr>
          <w:i/>
          <w:highlight w:val="white"/>
        </w:rPr>
        <w:t>.</w:t>
      </w:r>
    </w:p>
    <w:p w:rsidR="007A4228" w:rsidRDefault="00656025">
      <w:pPr>
        <w:spacing w:before="0"/>
      </w:pPr>
      <w:bookmarkStart w:id="1" w:name="_36575v8zw6j4" w:colFirst="0" w:colLast="0"/>
      <w:bookmarkEnd w:id="1"/>
      <w:r>
        <w:t>2. Đối tượng áp dụng</w:t>
      </w:r>
    </w:p>
    <w:p w:rsidR="007A4228" w:rsidRDefault="00656025">
      <w:pPr>
        <w:spacing w:before="0"/>
      </w:pPr>
      <w:r>
        <w:t>a) Các cơ sở giáo dục công lập gồm: Trường Mầm non, Tiểu học, Trung học cơ sở, Trung học phổ thông, Trường phổ thông có nhiều cấp học trên địa bàn tỉnh Lai Châu.</w:t>
      </w:r>
    </w:p>
    <w:p w:rsidR="007A4228" w:rsidRDefault="00656025">
      <w:pPr>
        <w:spacing w:before="0"/>
        <w:ind w:firstLine="709"/>
      </w:pPr>
      <w:r>
        <w:t>b) Trẻ em mầm non từ 24 tháng tuổi trở lên, học sinh phổ thông đang học tại các cơ sở giáo dục công lập được quy định tại điểm a, khoản 2 Điều này mà bản thân và bố, mẹ hoặc người giám hộ có hộ khẩu thường trú tại các xã, thôn, bản khu vực III chuyển thành xã, thôn, bản khu vực I.</w:t>
      </w:r>
    </w:p>
    <w:p w:rsidR="007A4228" w:rsidRDefault="00656025">
      <w:pPr>
        <w:spacing w:before="0"/>
      </w:pPr>
      <w:r>
        <w:rPr>
          <w:b/>
        </w:rPr>
        <w:t>Điều 2.</w:t>
      </w:r>
      <w:r>
        <w:t> Điều kiện được hưởng chính sách hỗ trợ</w:t>
      </w:r>
    </w:p>
    <w:p w:rsidR="007A4228" w:rsidRDefault="00656025">
      <w:pPr>
        <w:spacing w:before="0"/>
      </w:pPr>
      <w:r>
        <w:t>1. Trẻ em mầm non từ 24 tháng tuổi trở lên đang học tại các trường mầm non công lập.</w:t>
      </w:r>
    </w:p>
    <w:p w:rsidR="007A4228" w:rsidRDefault="00656025">
      <w:pPr>
        <w:spacing w:before="0"/>
        <w:rPr>
          <w:lang w:val="en-US"/>
        </w:rPr>
      </w:pPr>
      <w:r>
        <w:t>2. Học sinh phổ thông đang học tại các trường công lập được cấp có thẩm quyền phê duyệt ở bán trú tại trường hoặc khu vực gần trường để học tập.</w:t>
      </w:r>
    </w:p>
    <w:p w:rsidR="007A4228" w:rsidRDefault="00072020">
      <w:pPr>
        <w:spacing w:before="0"/>
      </w:pPr>
      <w:r w:rsidRPr="00072020">
        <w:rPr>
          <w:color w:val="000000"/>
          <w:shd w:val="clear" w:color="auto" w:fill="FFFFFF"/>
          <w:lang w:val="en-US"/>
        </w:rPr>
        <w:t>N</w:t>
      </w:r>
      <w:r w:rsidR="00656025" w:rsidRPr="00072020">
        <w:rPr>
          <w:highlight w:val="white"/>
        </w:rPr>
        <w:t xml:space="preserve">hà </w:t>
      </w:r>
      <w:r w:rsidR="00656025">
        <w:rPr>
          <w:highlight w:val="white"/>
        </w:rPr>
        <w:t>ở xa trường từ 4 km trở lên đối với học sinh tiểu học và từ 7 km trở lên đối với học sinh trung học cơ sở, từ 10 km trở lên với học sinh trung học phổ thông hoặc địa hình cách trở, giao thông đi lại khó khăn phải qua hồ, sông, suối, qua đèo, núi cao, qua vùng sạt lở đất, đá.</w:t>
      </w:r>
    </w:p>
    <w:p w:rsidR="007A4228" w:rsidRDefault="00656025">
      <w:pPr>
        <w:spacing w:before="0"/>
      </w:pPr>
      <w:r>
        <w:rPr>
          <w:b/>
        </w:rPr>
        <w:t>Điều 3.</w:t>
      </w:r>
      <w:r>
        <w:t> Mức hỗ trợ, thời gian hỗ trợ, nguồn kinh phí</w:t>
      </w:r>
    </w:p>
    <w:p w:rsidR="007A4228" w:rsidRDefault="00656025">
      <w:pPr>
        <w:spacing w:before="0"/>
      </w:pPr>
      <w:r>
        <w:t>1. Mức hỗ trợ</w:t>
      </w:r>
    </w:p>
    <w:p w:rsidR="007A4228" w:rsidRDefault="00656025">
      <w:pPr>
        <w:spacing w:before="0"/>
      </w:pPr>
      <w:r>
        <w:t>Hỗ trợ tiền ăn trưa cho trẻ mầm non; tiền ăn bán trú cho học sinh tiểu học, trung học cơ sở, trung học phổ thông bằ</w:t>
      </w:r>
      <w:r w:rsidR="00780B74">
        <w:t>ng 10% mức lương cơ sở/trẻ, học</w:t>
      </w:r>
      <w:r w:rsidR="00780B74">
        <w:rPr>
          <w:lang w:val="en-US"/>
        </w:rPr>
        <w:t xml:space="preserve"> </w:t>
      </w:r>
      <w:r>
        <w:t>sinh/tháng và được hỗ trợ theo số tháng thực học không quá 09 tháng/1 năm.</w:t>
      </w:r>
    </w:p>
    <w:p w:rsidR="007A4228" w:rsidRDefault="00656025">
      <w:pPr>
        <w:spacing w:before="0"/>
      </w:pPr>
      <w:r>
        <w:t>2. Thời gian hỗ trợ</w:t>
      </w:r>
    </w:p>
    <w:p w:rsidR="007A4228" w:rsidRDefault="00656025">
      <w:pPr>
        <w:spacing w:before="0"/>
      </w:pPr>
      <w:r>
        <w:t>Từ năm học 2025-2026 đến hết năm học 2027-2028.</w:t>
      </w:r>
    </w:p>
    <w:p w:rsidR="007A4228" w:rsidRDefault="00656025">
      <w:pPr>
        <w:spacing w:before="0"/>
      </w:pPr>
      <w:r>
        <w:t>3. Nguồn kinh phí</w:t>
      </w:r>
    </w:p>
    <w:p w:rsidR="007A4228" w:rsidRDefault="00656025">
      <w:pPr>
        <w:spacing w:before="0"/>
      </w:pPr>
      <w:r>
        <w:t>Từ nguồn</w:t>
      </w:r>
      <w:r w:rsidR="008928BD">
        <w:t xml:space="preserve"> cân đối ngân sách địa phương h</w:t>
      </w:r>
      <w:r w:rsidR="008928BD">
        <w:rPr>
          <w:lang w:val="en-US"/>
        </w:rPr>
        <w:t>ằng</w:t>
      </w:r>
      <w:r>
        <w:t xml:space="preserve"> năm chi cho sự nghiệp giáo dục và đào tạo.</w:t>
      </w:r>
    </w:p>
    <w:p w:rsidR="007A4228" w:rsidRDefault="00656025">
      <w:pPr>
        <w:spacing w:before="0"/>
      </w:pPr>
      <w:r>
        <w:rPr>
          <w:b/>
        </w:rPr>
        <w:t>Điều 4.</w:t>
      </w:r>
      <w:r>
        <w:t> Hội đồng nhân dân tỉnh giao</w:t>
      </w:r>
      <w:bookmarkStart w:id="2" w:name="_GoBack"/>
      <w:bookmarkEnd w:id="2"/>
    </w:p>
    <w:p w:rsidR="007A4228" w:rsidRDefault="00656025">
      <w:pPr>
        <w:spacing w:before="0"/>
      </w:pPr>
      <w:r>
        <w:t>1. Ủy ban nhân dân tỉnh tổ chức triển khai thực hiện.</w:t>
      </w:r>
    </w:p>
    <w:p w:rsidR="007A4228" w:rsidRDefault="00656025">
      <w:pPr>
        <w:spacing w:before="0"/>
      </w:pPr>
      <w:r>
        <w:t>2. Thường trực Hội đồng nhân dân, các Ban của Hội đồng nhân dân, các Tổ đại biểu Hội đồng nhân dân và đại biểu Hội đồng nhân dân tỉnh giám sát việc thực hiện Nghị quyết.</w:t>
      </w:r>
    </w:p>
    <w:p w:rsidR="007A4228" w:rsidRDefault="00656025">
      <w:r>
        <w:rPr>
          <w:b/>
        </w:rPr>
        <w:t>Điều 5.</w:t>
      </w:r>
      <w:r>
        <w:t> Hiệu lực thi hành</w:t>
      </w:r>
    </w:p>
    <w:p w:rsidR="007A4228" w:rsidRPr="006E0F77" w:rsidRDefault="00656025">
      <w:pPr>
        <w:rPr>
          <w:lang w:val="en-US"/>
        </w:rPr>
      </w:pPr>
      <w:r>
        <w:t>Nghị quyết này được Hội đồng nhân dân tỉnh Lai Châu khóa XV, kỳ họp thứ Hai mươi tám, thông qua ngày...tháng....năm 2025 và có hiệu lự</w:t>
      </w:r>
      <w:r w:rsidR="006E0F77">
        <w:t xml:space="preserve">c kể từ </w:t>
      </w:r>
      <w:r w:rsidR="006E0F77">
        <w:lastRenderedPageBreak/>
        <w:t>ngày…..tháng……năm 2025</w:t>
      </w:r>
      <w:r w:rsidR="006E0F77">
        <w:rPr>
          <w:lang w:val="en-US"/>
        </w:rPr>
        <w:t xml:space="preserve"> và </w:t>
      </w:r>
      <w:r>
        <w:t xml:space="preserve">thay thế Nghị quyết số 04/2022/NQ-HĐND ngày 29/3/2022 của Hội đồng nhân dân tỉnh Lai Châu Quy định mức hỗ trợ tiền ăn cho học sinh bán trú tại các xã, </w:t>
      </w:r>
      <w:r>
        <w:rPr>
          <w:highlight w:val="white"/>
        </w:rPr>
        <w:t>thôn, bản khu vực III chuyển thành các xã, thôn, bản khu vực I theo Quyết định của Thủ tướng Chính phủ và Quyết định của Ủy ban Dân tộ</w:t>
      </w:r>
      <w:r>
        <w:t>c giai đoạn 2021-2025 trên địa bàn tỉnh./.</w:t>
      </w:r>
    </w:p>
    <w:p w:rsidR="007A4228" w:rsidRDefault="007A4228"/>
    <w:tbl>
      <w:tblPr>
        <w:tblStyle w:val="a1"/>
        <w:tblW w:w="9532" w:type="dxa"/>
        <w:tblLayout w:type="fixed"/>
        <w:tblLook w:val="0000" w:firstRow="0" w:lastRow="0" w:firstColumn="0" w:lastColumn="0" w:noHBand="0" w:noVBand="0"/>
      </w:tblPr>
      <w:tblGrid>
        <w:gridCol w:w="5103"/>
        <w:gridCol w:w="4429"/>
      </w:tblGrid>
      <w:tr w:rsidR="007A4228">
        <w:trPr>
          <w:trHeight w:val="2535"/>
        </w:trPr>
        <w:tc>
          <w:tcPr>
            <w:tcW w:w="5103" w:type="dxa"/>
            <w:tcBorders>
              <w:top w:val="nil"/>
              <w:left w:val="nil"/>
              <w:bottom w:val="nil"/>
              <w:right w:val="nil"/>
            </w:tcBorders>
          </w:tcPr>
          <w:p w:rsidR="007A4228" w:rsidRDefault="00656025">
            <w:pPr>
              <w:keepLines/>
              <w:spacing w:before="0"/>
              <w:ind w:firstLine="37"/>
              <w:rPr>
                <w:b/>
                <w:i/>
                <w:sz w:val="24"/>
                <w:szCs w:val="24"/>
              </w:rPr>
            </w:pPr>
            <w:r>
              <w:rPr>
                <w:b/>
                <w:i/>
                <w:sz w:val="24"/>
                <w:szCs w:val="24"/>
              </w:rPr>
              <w:t>Nơi nhận:</w:t>
            </w:r>
          </w:p>
          <w:p w:rsidR="007A4228" w:rsidRDefault="00656025">
            <w:pPr>
              <w:keepLines/>
              <w:spacing w:before="0"/>
              <w:ind w:firstLine="37"/>
              <w:jc w:val="left"/>
              <w:rPr>
                <w:b/>
                <w:i/>
                <w:sz w:val="24"/>
                <w:szCs w:val="24"/>
              </w:rPr>
            </w:pPr>
            <w:r>
              <w:rPr>
                <w:sz w:val="22"/>
                <w:szCs w:val="22"/>
              </w:rPr>
              <w:t>- Ủy ban Thường vụ Quốc hội; Chính phủ;</w:t>
            </w:r>
            <w:r>
              <w:rPr>
                <w:sz w:val="22"/>
                <w:szCs w:val="22"/>
              </w:rPr>
              <w:br/>
              <w:t>- Văn phòng Quốc hội; Văn phòng Chính phủ;</w:t>
            </w:r>
            <w:r>
              <w:rPr>
                <w:sz w:val="22"/>
                <w:szCs w:val="22"/>
              </w:rPr>
              <w:br/>
              <w:t>- Các bộ: Giáo dục và Đào tạo, Tài chính;</w:t>
            </w:r>
            <w:r>
              <w:rPr>
                <w:sz w:val="22"/>
                <w:szCs w:val="22"/>
              </w:rPr>
              <w:br/>
              <w:t>- Cục Kiểm tra văn bản QPPL - Bộ Tư pháp;</w:t>
            </w:r>
            <w:r>
              <w:rPr>
                <w:sz w:val="22"/>
                <w:szCs w:val="22"/>
              </w:rPr>
              <w:br/>
              <w:t>- Thường trực Tỉnh ủy;</w:t>
            </w:r>
          </w:p>
          <w:p w:rsidR="007A4228" w:rsidRDefault="00656025">
            <w:pPr>
              <w:keepLines/>
              <w:spacing w:before="0"/>
              <w:ind w:left="37" w:firstLine="0"/>
              <w:jc w:val="left"/>
              <w:rPr>
                <w:sz w:val="22"/>
                <w:szCs w:val="22"/>
              </w:rPr>
            </w:pPr>
            <w:r>
              <w:rPr>
                <w:sz w:val="22"/>
                <w:szCs w:val="22"/>
              </w:rPr>
              <w:t>- Đoàn đại biểu Quốc hội tỉnh;</w:t>
            </w:r>
          </w:p>
          <w:p w:rsidR="007A4228" w:rsidRDefault="00656025">
            <w:pPr>
              <w:keepLines/>
              <w:spacing w:before="0"/>
              <w:ind w:left="37" w:firstLine="0"/>
              <w:jc w:val="left"/>
              <w:rPr>
                <w:sz w:val="22"/>
                <w:szCs w:val="22"/>
              </w:rPr>
            </w:pPr>
            <w:r>
              <w:rPr>
                <w:sz w:val="22"/>
                <w:szCs w:val="22"/>
              </w:rPr>
              <w:t>- Thường trực HĐND, UBND, UBMTTQVN tỉnh;</w:t>
            </w:r>
            <w:r>
              <w:rPr>
                <w:sz w:val="22"/>
                <w:szCs w:val="22"/>
              </w:rPr>
              <w:br/>
              <w:t>- Đại biểu HĐND tỉnh;</w:t>
            </w:r>
          </w:p>
          <w:p w:rsidR="007A4228" w:rsidRDefault="00656025">
            <w:pPr>
              <w:keepLines/>
              <w:spacing w:before="0"/>
              <w:ind w:left="37" w:firstLine="0"/>
              <w:jc w:val="left"/>
              <w:rPr>
                <w:sz w:val="22"/>
                <w:szCs w:val="22"/>
              </w:rPr>
            </w:pPr>
            <w:r>
              <w:rPr>
                <w:sz w:val="22"/>
                <w:szCs w:val="22"/>
              </w:rPr>
              <w:t>- Các sở, ban, ngành, đoàn thể tỉnh;</w:t>
            </w:r>
          </w:p>
          <w:p w:rsidR="007A4228" w:rsidRDefault="00656025">
            <w:pPr>
              <w:keepLines/>
              <w:spacing w:before="0"/>
              <w:ind w:left="37" w:firstLine="0"/>
              <w:jc w:val="left"/>
              <w:rPr>
                <w:sz w:val="22"/>
                <w:szCs w:val="22"/>
              </w:rPr>
            </w:pPr>
            <w:r>
              <w:rPr>
                <w:sz w:val="22"/>
                <w:szCs w:val="22"/>
              </w:rPr>
              <w:t>- Thường trực HĐND, UBND các huyện, thành phố;</w:t>
            </w:r>
          </w:p>
          <w:p w:rsidR="007A4228" w:rsidRDefault="00656025">
            <w:pPr>
              <w:keepLines/>
              <w:spacing w:before="0"/>
              <w:ind w:left="37" w:firstLine="0"/>
              <w:jc w:val="left"/>
              <w:rPr>
                <w:sz w:val="22"/>
                <w:szCs w:val="22"/>
              </w:rPr>
            </w:pPr>
            <w:r>
              <w:rPr>
                <w:sz w:val="22"/>
                <w:szCs w:val="22"/>
              </w:rPr>
              <w:t>- Công báo tỉnh; Cổng thông tin điện tử tỉnh;</w:t>
            </w:r>
            <w:r>
              <w:rPr>
                <w:sz w:val="22"/>
                <w:szCs w:val="22"/>
              </w:rPr>
              <w:br/>
              <w:t>- Lưu: VT.</w:t>
            </w:r>
          </w:p>
        </w:tc>
        <w:tc>
          <w:tcPr>
            <w:tcW w:w="4429" w:type="dxa"/>
            <w:tcBorders>
              <w:top w:val="nil"/>
              <w:left w:val="nil"/>
              <w:bottom w:val="nil"/>
              <w:right w:val="nil"/>
            </w:tcBorders>
          </w:tcPr>
          <w:p w:rsidR="007A4228" w:rsidRDefault="00656025">
            <w:pPr>
              <w:keepLines/>
              <w:jc w:val="center"/>
              <w:rPr>
                <w:b/>
              </w:rPr>
            </w:pPr>
            <w:r>
              <w:rPr>
                <w:b/>
              </w:rPr>
              <w:t>CHỦ TỊCH</w:t>
            </w:r>
          </w:p>
          <w:p w:rsidR="007A4228" w:rsidRDefault="007A4228">
            <w:pPr>
              <w:keepLines/>
              <w:jc w:val="center"/>
              <w:rPr>
                <w:b/>
              </w:rPr>
            </w:pPr>
          </w:p>
          <w:p w:rsidR="007A4228" w:rsidRDefault="007A4228">
            <w:pPr>
              <w:keepLines/>
              <w:ind w:firstLine="0"/>
              <w:jc w:val="center"/>
            </w:pPr>
          </w:p>
          <w:p w:rsidR="007A4228" w:rsidRDefault="007A4228">
            <w:pPr>
              <w:keepLines/>
              <w:ind w:firstLine="0"/>
              <w:jc w:val="center"/>
            </w:pPr>
          </w:p>
          <w:p w:rsidR="007A4228" w:rsidRDefault="007A4228">
            <w:pPr>
              <w:keepLines/>
              <w:jc w:val="center"/>
            </w:pPr>
          </w:p>
          <w:p w:rsidR="007A4228" w:rsidRDefault="007A4228">
            <w:pPr>
              <w:keepLines/>
              <w:jc w:val="center"/>
            </w:pPr>
          </w:p>
          <w:p w:rsidR="007A4228" w:rsidRDefault="007A4228">
            <w:pPr>
              <w:keepLines/>
              <w:jc w:val="center"/>
              <w:rPr>
                <w:b/>
              </w:rPr>
            </w:pPr>
          </w:p>
          <w:p w:rsidR="007A4228" w:rsidRDefault="007A4228">
            <w:pPr>
              <w:keepLines/>
              <w:jc w:val="left"/>
              <w:rPr>
                <w:b/>
              </w:rPr>
            </w:pPr>
          </w:p>
        </w:tc>
      </w:tr>
    </w:tbl>
    <w:p w:rsidR="007A4228" w:rsidRDefault="007A4228">
      <w:pPr>
        <w:keepLines/>
        <w:spacing w:line="360" w:lineRule="auto"/>
      </w:pPr>
    </w:p>
    <w:sectPr w:rsidR="007A4228">
      <w:headerReference w:type="default" r:id="rId7"/>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800" w:rsidRDefault="005E2800">
      <w:pPr>
        <w:spacing w:before="0"/>
      </w:pPr>
      <w:r>
        <w:separator/>
      </w:r>
    </w:p>
  </w:endnote>
  <w:endnote w:type="continuationSeparator" w:id="0">
    <w:p w:rsidR="005E2800" w:rsidRDefault="005E280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800" w:rsidRDefault="005E2800">
      <w:pPr>
        <w:spacing w:before="0"/>
      </w:pPr>
      <w:r>
        <w:separator/>
      </w:r>
    </w:p>
  </w:footnote>
  <w:footnote w:type="continuationSeparator" w:id="0">
    <w:p w:rsidR="005E2800" w:rsidRDefault="005E280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28" w:rsidRDefault="00656025">
    <w:pPr>
      <w:tabs>
        <w:tab w:val="center" w:pos="7143"/>
        <w:tab w:val="right" w:pos="14287"/>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8928BD">
      <w:rPr>
        <w:noProof/>
        <w:color w:val="000000"/>
        <w:sz w:val="22"/>
        <w:szCs w:val="22"/>
      </w:rPr>
      <w:t>2</w:t>
    </w:r>
    <w:r>
      <w:rPr>
        <w:color w:val="000000"/>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A4228"/>
    <w:rsid w:val="000510BF"/>
    <w:rsid w:val="00072020"/>
    <w:rsid w:val="003A45FA"/>
    <w:rsid w:val="0042456E"/>
    <w:rsid w:val="00490613"/>
    <w:rsid w:val="00496DFF"/>
    <w:rsid w:val="004B2535"/>
    <w:rsid w:val="004D6CD6"/>
    <w:rsid w:val="005E2800"/>
    <w:rsid w:val="00656025"/>
    <w:rsid w:val="006A13A1"/>
    <w:rsid w:val="006E0F77"/>
    <w:rsid w:val="00780B74"/>
    <w:rsid w:val="007A4228"/>
    <w:rsid w:val="007C3B43"/>
    <w:rsid w:val="008928BD"/>
    <w:rsid w:val="00937B19"/>
    <w:rsid w:val="00971142"/>
    <w:rsid w:val="00994909"/>
    <w:rsid w:val="00B15F32"/>
    <w:rsid w:val="00B64051"/>
    <w:rsid w:val="00D84ADA"/>
    <w:rsid w:val="00DC5AEB"/>
    <w:rsid w:val="00E92F42"/>
    <w:rsid w:val="00EC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VN" w:eastAsia="en-US" w:bidi="ar-SA"/>
      </w:rPr>
    </w:rPrDefault>
    <w:pPrDefault>
      <w:pPr>
        <w:pBdr>
          <w:top w:val="none" w:sz="0" w:space="0" w:color="000000"/>
          <w:left w:val="none" w:sz="0" w:space="0" w:color="000000"/>
          <w:bottom w:val="none" w:sz="0" w:space="0" w:color="000000"/>
          <w:right w:val="none" w:sz="0" w:space="0" w:color="000000"/>
          <w:between w:val="none" w:sz="0" w:space="0" w:color="000000"/>
        </w:pBd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200"/>
      <w:outlineLvl w:val="1"/>
    </w:pPr>
    <w:rPr>
      <w:rFonts w:ascii="Arial" w:eastAsia="Arial" w:hAnsi="Arial" w:cs="Arial"/>
      <w:b/>
      <w:color w:val="000000"/>
      <w:sz w:val="40"/>
      <w:szCs w:val="40"/>
    </w:rPr>
  </w:style>
  <w:style w:type="paragraph" w:styleId="Heading3">
    <w:name w:val="heading 3"/>
    <w:basedOn w:val="Normal"/>
    <w:next w:val="Normal"/>
    <w:pPr>
      <w:keepNext/>
      <w:keepLines/>
      <w:spacing w:before="200"/>
      <w:outlineLvl w:val="2"/>
    </w:pPr>
    <w:rPr>
      <w:rFonts w:ascii="Arial" w:eastAsia="Arial" w:hAnsi="Arial" w:cs="Arial"/>
      <w:b/>
      <w:i/>
      <w:color w:val="000000"/>
      <w:sz w:val="36"/>
      <w:szCs w:val="36"/>
    </w:rPr>
  </w:style>
  <w:style w:type="paragraph" w:styleId="Heading4">
    <w:name w:val="heading 4"/>
    <w:basedOn w:val="Normal"/>
    <w:next w:val="Normal"/>
    <w:pPr>
      <w:keepNext/>
      <w:spacing w:before="240" w:after="60"/>
      <w:outlineLvl w:val="3"/>
    </w:pPr>
    <w:rPr>
      <w:rFonts w:ascii="Calibri" w:eastAsia="Calibri" w:hAnsi="Calibri" w:cs="Calibri"/>
      <w:b/>
    </w:rPr>
  </w:style>
  <w:style w:type="paragraph" w:styleId="Heading5">
    <w:name w:val="heading 5"/>
    <w:basedOn w:val="Normal"/>
    <w:next w:val="Normal"/>
    <w:pPr>
      <w:keepNext/>
      <w:keepLines/>
      <w:spacing w:before="200"/>
      <w:outlineLvl w:val="4"/>
    </w:pPr>
    <w:rPr>
      <w:rFonts w:ascii="Arial" w:eastAsia="Arial" w:hAnsi="Arial" w:cs="Arial"/>
      <w:b/>
      <w:color w:val="444444"/>
    </w:rPr>
  </w:style>
  <w:style w:type="paragraph" w:styleId="Heading6">
    <w:name w:val="heading 6"/>
    <w:basedOn w:val="Normal"/>
    <w:next w:val="Normal"/>
    <w:pPr>
      <w:keepNext/>
      <w:keepLines/>
      <w:spacing w:before="200"/>
      <w:outlineLvl w:val="5"/>
    </w:pPr>
    <w:rPr>
      <w:rFonts w:ascii="Arial" w:eastAsia="Arial" w:hAnsi="Arial" w:cs="Arial"/>
      <w:i/>
      <w:color w:val="2323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24" w:space="0" w:color="000000"/>
      </w:pBdr>
      <w:spacing w:before="300" w:after="80"/>
    </w:pPr>
    <w:rPr>
      <w:b/>
      <w:color w:val="000000"/>
      <w:sz w:val="72"/>
      <w:szCs w:val="72"/>
    </w:rPr>
  </w:style>
  <w:style w:type="paragraph" w:styleId="Subtitle">
    <w:name w:val="Subtitle"/>
    <w:basedOn w:val="Normal"/>
    <w:next w:val="Normal"/>
    <w:rPr>
      <w:i/>
      <w:color w:val="444444"/>
      <w:sz w:val="52"/>
      <w:szCs w:val="52"/>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vi-VN" w:eastAsia="en-US" w:bidi="ar-SA"/>
      </w:rPr>
    </w:rPrDefault>
    <w:pPrDefault>
      <w:pPr>
        <w:pBdr>
          <w:top w:val="none" w:sz="0" w:space="0" w:color="000000"/>
          <w:left w:val="none" w:sz="0" w:space="0" w:color="000000"/>
          <w:bottom w:val="none" w:sz="0" w:space="0" w:color="000000"/>
          <w:right w:val="none" w:sz="0" w:space="0" w:color="000000"/>
          <w:between w:val="none" w:sz="0" w:space="0" w:color="000000"/>
        </w:pBd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200"/>
      <w:outlineLvl w:val="1"/>
    </w:pPr>
    <w:rPr>
      <w:rFonts w:ascii="Arial" w:eastAsia="Arial" w:hAnsi="Arial" w:cs="Arial"/>
      <w:b/>
      <w:color w:val="000000"/>
      <w:sz w:val="40"/>
      <w:szCs w:val="40"/>
    </w:rPr>
  </w:style>
  <w:style w:type="paragraph" w:styleId="Heading3">
    <w:name w:val="heading 3"/>
    <w:basedOn w:val="Normal"/>
    <w:next w:val="Normal"/>
    <w:pPr>
      <w:keepNext/>
      <w:keepLines/>
      <w:spacing w:before="200"/>
      <w:outlineLvl w:val="2"/>
    </w:pPr>
    <w:rPr>
      <w:rFonts w:ascii="Arial" w:eastAsia="Arial" w:hAnsi="Arial" w:cs="Arial"/>
      <w:b/>
      <w:i/>
      <w:color w:val="000000"/>
      <w:sz w:val="36"/>
      <w:szCs w:val="36"/>
    </w:rPr>
  </w:style>
  <w:style w:type="paragraph" w:styleId="Heading4">
    <w:name w:val="heading 4"/>
    <w:basedOn w:val="Normal"/>
    <w:next w:val="Normal"/>
    <w:pPr>
      <w:keepNext/>
      <w:spacing w:before="240" w:after="60"/>
      <w:outlineLvl w:val="3"/>
    </w:pPr>
    <w:rPr>
      <w:rFonts w:ascii="Calibri" w:eastAsia="Calibri" w:hAnsi="Calibri" w:cs="Calibri"/>
      <w:b/>
    </w:rPr>
  </w:style>
  <w:style w:type="paragraph" w:styleId="Heading5">
    <w:name w:val="heading 5"/>
    <w:basedOn w:val="Normal"/>
    <w:next w:val="Normal"/>
    <w:pPr>
      <w:keepNext/>
      <w:keepLines/>
      <w:spacing w:before="200"/>
      <w:outlineLvl w:val="4"/>
    </w:pPr>
    <w:rPr>
      <w:rFonts w:ascii="Arial" w:eastAsia="Arial" w:hAnsi="Arial" w:cs="Arial"/>
      <w:b/>
      <w:color w:val="444444"/>
    </w:rPr>
  </w:style>
  <w:style w:type="paragraph" w:styleId="Heading6">
    <w:name w:val="heading 6"/>
    <w:basedOn w:val="Normal"/>
    <w:next w:val="Normal"/>
    <w:pPr>
      <w:keepNext/>
      <w:keepLines/>
      <w:spacing w:before="200"/>
      <w:outlineLvl w:val="5"/>
    </w:pPr>
    <w:rPr>
      <w:rFonts w:ascii="Arial" w:eastAsia="Arial" w:hAnsi="Arial" w:cs="Arial"/>
      <w:i/>
      <w:color w:val="2323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24" w:space="0" w:color="000000"/>
      </w:pBdr>
      <w:spacing w:before="300" w:after="80"/>
    </w:pPr>
    <w:rPr>
      <w:b/>
      <w:color w:val="000000"/>
      <w:sz w:val="72"/>
      <w:szCs w:val="72"/>
    </w:rPr>
  </w:style>
  <w:style w:type="paragraph" w:styleId="Subtitle">
    <w:name w:val="Subtitle"/>
    <w:basedOn w:val="Normal"/>
    <w:next w:val="Normal"/>
    <w:rPr>
      <w:i/>
      <w:color w:val="444444"/>
      <w:sz w:val="52"/>
      <w:szCs w:val="52"/>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ATComputer</cp:lastModifiedBy>
  <cp:revision>13</cp:revision>
  <cp:lastPrinted>2025-04-10T08:15:00Z</cp:lastPrinted>
  <dcterms:created xsi:type="dcterms:W3CDTF">2025-04-10T04:03:00Z</dcterms:created>
  <dcterms:modified xsi:type="dcterms:W3CDTF">2025-04-11T02:49:00Z</dcterms:modified>
</cp:coreProperties>
</file>