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9F" w:rsidRPr="00BE4250" w:rsidRDefault="00B6189F" w:rsidP="00B6189F">
      <w:pPr>
        <w:jc w:val="center"/>
        <w:rPr>
          <w:rFonts w:ascii="Times New Roman" w:eastAsia="Times New Roman" w:hAnsi="Times New Roman" w:cs="Times New Roman"/>
          <w:b/>
          <w:bCs/>
          <w:sz w:val="28"/>
          <w:szCs w:val="28"/>
        </w:rPr>
      </w:pPr>
      <w:r w:rsidRPr="00BE4250">
        <w:rPr>
          <w:rFonts w:ascii="Times New Roman" w:eastAsia="Times New Roman" w:hAnsi="Times New Roman" w:cs="Times New Roman"/>
          <w:b/>
          <w:bCs/>
          <w:sz w:val="28"/>
          <w:szCs w:val="28"/>
        </w:rPr>
        <w:t>BẢN THUYẾT MINH</w:t>
      </w:r>
    </w:p>
    <w:p w:rsidR="00B6189F" w:rsidRPr="00BE4250" w:rsidRDefault="00B6189F" w:rsidP="00B6189F">
      <w:pPr>
        <w:spacing w:after="0" w:line="240" w:lineRule="auto"/>
        <w:jc w:val="center"/>
        <w:rPr>
          <w:rFonts w:ascii="Times New Roman" w:eastAsia="Times New Roman" w:hAnsi="Times New Roman" w:cs="Times New Roman"/>
          <w:b/>
          <w:bCs/>
          <w:sz w:val="28"/>
          <w:szCs w:val="28"/>
        </w:rPr>
      </w:pPr>
      <w:r w:rsidRPr="00BE4250">
        <w:rPr>
          <w:rFonts w:ascii="Times New Roman" w:eastAsia="Times New Roman" w:hAnsi="Times New Roman" w:cs="Times New Roman"/>
          <w:b/>
          <w:bCs/>
          <w:sz w:val="28"/>
          <w:szCs w:val="28"/>
        </w:rPr>
        <w:t>DỰ THẢO NGHỊ QUYẾT PHÂN CẤP CHO ỦY BAN NHÂN DÂN TỈNH VÀ HĐND CẤP XÃ THỰC HIỆN MỘT SỐ NHIỆM VỤ THUỘC THẨM QUYỀN CỦA HĐND TỈNH</w:t>
      </w:r>
    </w:p>
    <w:p w:rsidR="00400EBF" w:rsidRPr="00BE4250" w:rsidRDefault="00B6189F">
      <w:r w:rsidRPr="00BE4250">
        <w:t xml:space="preserve"> </w:t>
      </w:r>
    </w:p>
    <w:tbl>
      <w:tblPr>
        <w:tblStyle w:val="TableGrid"/>
        <w:tblW w:w="14276" w:type="dxa"/>
        <w:tblLayout w:type="fixed"/>
        <w:tblLook w:val="04A0" w:firstRow="1" w:lastRow="0" w:firstColumn="1" w:lastColumn="0" w:noHBand="0" w:noVBand="1"/>
      </w:tblPr>
      <w:tblGrid>
        <w:gridCol w:w="675"/>
        <w:gridCol w:w="3402"/>
        <w:gridCol w:w="2410"/>
        <w:gridCol w:w="908"/>
        <w:gridCol w:w="5895"/>
        <w:gridCol w:w="986"/>
      </w:tblGrid>
      <w:tr w:rsidR="00BE4250" w:rsidRPr="00BE4250" w:rsidTr="00AE2F3F">
        <w:trPr>
          <w:tblHeader/>
        </w:trPr>
        <w:tc>
          <w:tcPr>
            <w:tcW w:w="675" w:type="dxa"/>
            <w:shd w:val="clear" w:color="auto" w:fill="C2D69B" w:themeFill="accent3" w:themeFillTint="99"/>
            <w:vAlign w:val="center"/>
          </w:tcPr>
          <w:p w:rsidR="00B6189F" w:rsidRPr="00BE4250" w:rsidRDefault="00B6189F" w:rsidP="00AD4FC0">
            <w:pPr>
              <w:jc w:val="center"/>
              <w:rPr>
                <w:rFonts w:ascii="Times New Roman" w:hAnsi="Times New Roman" w:cs="Times New Roman"/>
                <w:b/>
              </w:rPr>
            </w:pPr>
            <w:r w:rsidRPr="00BE4250">
              <w:rPr>
                <w:rFonts w:ascii="Times New Roman" w:hAnsi="Times New Roman" w:cs="Times New Roman"/>
                <w:b/>
              </w:rPr>
              <w:t>Số tt</w:t>
            </w:r>
          </w:p>
        </w:tc>
        <w:tc>
          <w:tcPr>
            <w:tcW w:w="3402" w:type="dxa"/>
            <w:shd w:val="clear" w:color="auto" w:fill="C2D69B" w:themeFill="accent3" w:themeFillTint="99"/>
            <w:vAlign w:val="center"/>
          </w:tcPr>
          <w:p w:rsidR="00B6189F" w:rsidRPr="00BE4250" w:rsidRDefault="00B6189F" w:rsidP="00AD4FC0">
            <w:pPr>
              <w:jc w:val="center"/>
              <w:rPr>
                <w:rFonts w:ascii="Times New Roman" w:hAnsi="Times New Roman" w:cs="Times New Roman"/>
                <w:b/>
              </w:rPr>
            </w:pPr>
            <w:r w:rsidRPr="00BE4250">
              <w:rPr>
                <w:rFonts w:ascii="Times New Roman" w:hAnsi="Times New Roman" w:cs="Times New Roman"/>
                <w:b/>
              </w:rPr>
              <w:t>Quy định pháp luật hiện hành</w:t>
            </w:r>
          </w:p>
        </w:tc>
        <w:tc>
          <w:tcPr>
            <w:tcW w:w="2410" w:type="dxa"/>
            <w:shd w:val="clear" w:color="auto" w:fill="C2D69B" w:themeFill="accent3" w:themeFillTint="99"/>
            <w:vAlign w:val="center"/>
          </w:tcPr>
          <w:p w:rsidR="00B6189F" w:rsidRPr="00BE4250" w:rsidRDefault="002673FF" w:rsidP="00AD4FC0">
            <w:pPr>
              <w:jc w:val="center"/>
              <w:rPr>
                <w:rFonts w:ascii="Times New Roman" w:hAnsi="Times New Roman" w:cs="Times New Roman"/>
                <w:b/>
              </w:rPr>
            </w:pPr>
            <w:r w:rsidRPr="00BE4250">
              <w:rPr>
                <w:rFonts w:ascii="Times New Roman" w:hAnsi="Times New Roman" w:cs="Times New Roman"/>
                <w:b/>
              </w:rPr>
              <w:t>Nội dung phân cấp</w:t>
            </w:r>
          </w:p>
        </w:tc>
        <w:tc>
          <w:tcPr>
            <w:tcW w:w="908" w:type="dxa"/>
            <w:shd w:val="clear" w:color="auto" w:fill="C2D69B" w:themeFill="accent3" w:themeFillTint="99"/>
            <w:vAlign w:val="center"/>
          </w:tcPr>
          <w:p w:rsidR="00B6189F" w:rsidRPr="00BE4250" w:rsidRDefault="002673FF" w:rsidP="00AD4FC0">
            <w:pPr>
              <w:jc w:val="center"/>
              <w:rPr>
                <w:rFonts w:ascii="Times New Roman" w:hAnsi="Times New Roman" w:cs="Times New Roman"/>
                <w:b/>
              </w:rPr>
            </w:pPr>
            <w:r w:rsidRPr="00BE4250">
              <w:rPr>
                <w:rFonts w:ascii="Times New Roman" w:hAnsi="Times New Roman" w:cs="Times New Roman"/>
                <w:b/>
              </w:rPr>
              <w:t>Chủ thể được phân cấp</w:t>
            </w:r>
          </w:p>
        </w:tc>
        <w:tc>
          <w:tcPr>
            <w:tcW w:w="5895" w:type="dxa"/>
            <w:shd w:val="clear" w:color="auto" w:fill="C2D69B" w:themeFill="accent3" w:themeFillTint="99"/>
            <w:vAlign w:val="center"/>
          </w:tcPr>
          <w:p w:rsidR="009B62AC" w:rsidRPr="00BE4250" w:rsidRDefault="002673FF" w:rsidP="00AD4FC0">
            <w:pPr>
              <w:ind w:firstLine="284"/>
              <w:jc w:val="center"/>
              <w:rPr>
                <w:rFonts w:ascii="Times New Roman" w:eastAsia="Times New Roman" w:hAnsi="Times New Roman" w:cs="Times New Roman"/>
                <w:b/>
                <w:bCs/>
              </w:rPr>
            </w:pPr>
            <w:r w:rsidRPr="00BE4250">
              <w:rPr>
                <w:rFonts w:ascii="Times New Roman" w:eastAsia="Times New Roman" w:hAnsi="Times New Roman" w:cs="Times New Roman"/>
                <w:b/>
                <w:bCs/>
              </w:rPr>
              <w:t>Thuyết minh nội dung phân cấp</w:t>
            </w:r>
          </w:p>
          <w:p w:rsidR="009B62AC" w:rsidRPr="00BE4250" w:rsidRDefault="009B62AC" w:rsidP="00AD4FC0">
            <w:pPr>
              <w:ind w:firstLine="284"/>
              <w:jc w:val="center"/>
              <w:rPr>
                <w:rFonts w:ascii="Times New Roman" w:hAnsi="Times New Roman" w:cs="Times New Roman"/>
                <w:b/>
              </w:rPr>
            </w:pPr>
            <w:r w:rsidRPr="00BE4250">
              <w:rPr>
                <w:rFonts w:ascii="Times New Roman" w:eastAsia="Times New Roman" w:hAnsi="Times New Roman" w:cs="Times New Roman"/>
                <w:b/>
                <w:bCs/>
              </w:rPr>
              <w:t>(</w:t>
            </w:r>
            <w:r w:rsidRPr="00BE4250">
              <w:rPr>
                <w:rFonts w:ascii="Times New Roman" w:hAnsi="Times New Roman" w:cs="Times New Roman"/>
                <w:b/>
              </w:rPr>
              <w:t>Cơ sở thực tiễn; sự cần thiết/tính cấp bách của việc phân cấp</w:t>
            </w:r>
          </w:p>
          <w:p w:rsidR="00B6189F" w:rsidRPr="00BE4250" w:rsidRDefault="00B6189F" w:rsidP="00AD4FC0">
            <w:pPr>
              <w:jc w:val="center"/>
              <w:rPr>
                <w:rFonts w:ascii="Times New Roman" w:hAnsi="Times New Roman" w:cs="Times New Roman"/>
                <w:b/>
              </w:rPr>
            </w:pPr>
          </w:p>
        </w:tc>
        <w:tc>
          <w:tcPr>
            <w:tcW w:w="986" w:type="dxa"/>
            <w:shd w:val="clear" w:color="auto" w:fill="C2D69B" w:themeFill="accent3" w:themeFillTint="99"/>
            <w:vAlign w:val="center"/>
          </w:tcPr>
          <w:p w:rsidR="00B6189F" w:rsidRPr="00BE4250" w:rsidRDefault="002673FF" w:rsidP="00AD4FC0">
            <w:pPr>
              <w:jc w:val="center"/>
              <w:rPr>
                <w:rFonts w:ascii="Times New Roman" w:hAnsi="Times New Roman" w:cs="Times New Roman"/>
                <w:b/>
              </w:rPr>
            </w:pPr>
            <w:r w:rsidRPr="00BE4250">
              <w:rPr>
                <w:rFonts w:ascii="Times New Roman" w:hAnsi="Times New Roman" w:cs="Times New Roman"/>
                <w:b/>
              </w:rPr>
              <w:t>Ghi chú</w:t>
            </w:r>
          </w:p>
        </w:tc>
      </w:tr>
      <w:tr w:rsidR="00BE4250" w:rsidRPr="00BE4250" w:rsidTr="00B82B37">
        <w:tc>
          <w:tcPr>
            <w:tcW w:w="675" w:type="dxa"/>
            <w:vAlign w:val="center"/>
          </w:tcPr>
          <w:p w:rsidR="009325DB" w:rsidRPr="00BE4250" w:rsidRDefault="009325DB" w:rsidP="00AD4FC0">
            <w:pPr>
              <w:pStyle w:val="ListParagraph"/>
              <w:numPr>
                <w:ilvl w:val="0"/>
                <w:numId w:val="2"/>
              </w:numPr>
              <w:ind w:left="142" w:firstLine="0"/>
              <w:jc w:val="center"/>
              <w:rPr>
                <w:rFonts w:ascii="Times New Roman" w:hAnsi="Times New Roman" w:cs="Times New Roman"/>
              </w:rPr>
            </w:pPr>
          </w:p>
        </w:tc>
        <w:tc>
          <w:tcPr>
            <w:tcW w:w="3402" w:type="dxa"/>
            <w:vMerge w:val="restart"/>
            <w:vAlign w:val="center"/>
          </w:tcPr>
          <w:p w:rsidR="009325DB" w:rsidRPr="00BE4250" w:rsidRDefault="00A72FE0" w:rsidP="00AD4FC0">
            <w:pPr>
              <w:pStyle w:val="NormalWeb"/>
              <w:widowControl w:val="0"/>
              <w:spacing w:before="0" w:beforeAutospacing="0" w:after="0" w:afterAutospacing="0"/>
              <w:ind w:left="57"/>
              <w:jc w:val="both"/>
              <w:rPr>
                <w:sz w:val="22"/>
                <w:szCs w:val="22"/>
              </w:rPr>
            </w:pPr>
            <w:r>
              <w:rPr>
                <w:sz w:val="22"/>
                <w:szCs w:val="22"/>
              </w:rPr>
              <w:t>*</w:t>
            </w:r>
            <w:r w:rsidR="009325DB" w:rsidRPr="00BE4250">
              <w:rPr>
                <w:sz w:val="22"/>
                <w:szCs w:val="22"/>
              </w:rPr>
              <w:t xml:space="preserve"> khoản 2 Điều 6 Nghị định số 358/2025/NĐ-CP ngày 31/12/2025 của Chính phủ quy định cơ chế quản lý, tổ chức thực hiện các Chương trình mục tiêu quốc gia quy định:</w:t>
            </w:r>
          </w:p>
          <w:p w:rsidR="009325DB" w:rsidRPr="00BE4250" w:rsidRDefault="009325DB" w:rsidP="00AD4FC0">
            <w:pPr>
              <w:pStyle w:val="NormalWeb"/>
              <w:spacing w:before="0" w:beforeAutospacing="0" w:after="0" w:afterAutospacing="0"/>
              <w:jc w:val="both"/>
              <w:rPr>
                <w:i/>
                <w:sz w:val="22"/>
                <w:szCs w:val="22"/>
              </w:rPr>
            </w:pPr>
            <w:r w:rsidRPr="00BE4250">
              <w:rPr>
                <w:i/>
                <w:sz w:val="22"/>
                <w:szCs w:val="22"/>
              </w:rPr>
              <w:t>“2. Lập, phê duyệt, giao kế hoạch ..giai đoạn 05 năm tại cấp tỉnh…</w:t>
            </w:r>
          </w:p>
          <w:p w:rsidR="009325DB" w:rsidRPr="00BE4250" w:rsidRDefault="009325DB" w:rsidP="00AD4FC0">
            <w:pPr>
              <w:pStyle w:val="NormalWeb"/>
              <w:widowControl w:val="0"/>
              <w:spacing w:before="0" w:beforeAutospacing="0" w:after="0" w:afterAutospacing="0"/>
              <w:ind w:left="57"/>
              <w:jc w:val="both"/>
              <w:rPr>
                <w:i/>
                <w:sz w:val="22"/>
                <w:szCs w:val="22"/>
              </w:rPr>
            </w:pPr>
            <w:r w:rsidRPr="00BE4250">
              <w:rPr>
                <w:i/>
                <w:sz w:val="22"/>
                <w:szCs w:val="22"/>
              </w:rPr>
              <w:t>Trường hợp cần phân cấp, Ủy ban nhân dân cấp tỉnh trình Hội đồng nhân dân cùng cấp quyết định việc phân cấp cho Hội đồng nhân dân cấp xã quyết định phân bổ, điều chỉnh kế hoạch đầu tư công trung hạn, hằng năm vốn ngân sách trung ương chi tiết theo dự án thành phần, danh mục và mức vốn bố trí thực hiện dự án, nhiệm vụ đầu tư công của từng chương trình mục tiêu quốc gia</w:t>
            </w:r>
          </w:p>
          <w:p w:rsidR="009325DB" w:rsidRPr="00BE4250" w:rsidRDefault="009325DB" w:rsidP="00AD4FC0">
            <w:pPr>
              <w:pStyle w:val="NormalWeb"/>
              <w:widowControl w:val="0"/>
              <w:spacing w:before="0" w:beforeAutospacing="0" w:after="0" w:afterAutospacing="0"/>
              <w:ind w:left="57"/>
              <w:jc w:val="both"/>
              <w:rPr>
                <w:i/>
                <w:sz w:val="22"/>
                <w:szCs w:val="22"/>
              </w:rPr>
            </w:pPr>
            <w:r w:rsidRPr="00BE4250">
              <w:rPr>
                <w:i/>
                <w:sz w:val="22"/>
                <w:szCs w:val="22"/>
              </w:rPr>
              <w:t>b) Căn cứ Nghị quyết của Hội đồng nhân dân cấp tỉnh, Ủy ban nhân dân cấp tỉnh giao mục tiêu, nhiệm vụ, kế hoạch đầu tư công trung hạn … … cho các sở, ban và cấp xã trực thuộc. Nội dung giao chi tiết kế hoạch đầu tư công thực hiện theo quy định của Hội đồng nhân dân cấp tỉnh”.</w:t>
            </w:r>
          </w:p>
          <w:p w:rsidR="009325DB" w:rsidRPr="00BE4250" w:rsidRDefault="00A72FE0" w:rsidP="00AD4FC0">
            <w:pPr>
              <w:pStyle w:val="NormalWeb"/>
              <w:widowControl w:val="0"/>
              <w:spacing w:before="0" w:beforeAutospacing="0" w:after="0" w:afterAutospacing="0"/>
              <w:ind w:left="57"/>
              <w:jc w:val="both"/>
              <w:rPr>
                <w:i/>
                <w:sz w:val="22"/>
                <w:szCs w:val="22"/>
              </w:rPr>
            </w:pPr>
            <w:r>
              <w:rPr>
                <w:sz w:val="22"/>
                <w:szCs w:val="22"/>
              </w:rPr>
              <w:t xml:space="preserve">* </w:t>
            </w:r>
            <w:r w:rsidR="009325DB" w:rsidRPr="00BE4250">
              <w:rPr>
                <w:sz w:val="22"/>
                <w:szCs w:val="22"/>
              </w:rPr>
              <w:t xml:space="preserve">khoản 2 Điều 7 Nghị định số 358/2025/NĐ-CP quy định: </w:t>
            </w:r>
            <w:r w:rsidR="009325DB" w:rsidRPr="00BE4250">
              <w:rPr>
                <w:i/>
                <w:sz w:val="22"/>
                <w:szCs w:val="22"/>
              </w:rPr>
              <w:t xml:space="preserve">“2. </w:t>
            </w:r>
            <w:r w:rsidR="009325DB" w:rsidRPr="00BE4250">
              <w:rPr>
                <w:i/>
                <w:sz w:val="22"/>
                <w:szCs w:val="22"/>
              </w:rPr>
              <w:lastRenderedPageBreak/>
              <w:t>Giao kế hoạch thực hiện chương trình mục tiêu quốc gia hằng năm</w:t>
            </w:r>
          </w:p>
          <w:p w:rsidR="009325DB" w:rsidRPr="00BE4250" w:rsidRDefault="009325DB" w:rsidP="00AD4FC0">
            <w:pPr>
              <w:pStyle w:val="NormalWeb"/>
              <w:widowControl w:val="0"/>
              <w:spacing w:before="0" w:beforeAutospacing="0" w:after="0" w:afterAutospacing="0"/>
              <w:ind w:left="57"/>
              <w:jc w:val="both"/>
              <w:rPr>
                <w:sz w:val="22"/>
                <w:szCs w:val="22"/>
              </w:rPr>
            </w:pPr>
            <w:r w:rsidRPr="00BE4250">
              <w:rPr>
                <w:i/>
                <w:sz w:val="22"/>
                <w:szCs w:val="22"/>
              </w:rPr>
              <w:t>b) … Ủy ban nhân dân các cấp tại địa phương hoàn thành việc phân bổ, giao dự toán ngân sách nhà nước, kế hoạch đầu tư công vốn ngân sách nhà nước hằng năm cho các cơ quan, đơn vị, cấp trực thuộc chi tiết theo ngân sách trung ương, ngân sách địa phương, lĩnh vực chi, danh mục và mức vốn bố trí …. Lập, phê duyệt và giao danh mục dự án đầu tư công thực hiện từng chương trình mục tiêu quốc gia tại địa phương, thực hiện theo quy định về phân cấp của Hội đồng nhân dân cấp tỉnh”</w:t>
            </w:r>
          </w:p>
        </w:tc>
        <w:tc>
          <w:tcPr>
            <w:tcW w:w="2410" w:type="dxa"/>
            <w:vAlign w:val="center"/>
          </w:tcPr>
          <w:p w:rsidR="009325DB" w:rsidRPr="00BE4250" w:rsidRDefault="001B5B92" w:rsidP="00F20510">
            <w:pPr>
              <w:ind w:firstLine="176"/>
              <w:jc w:val="both"/>
              <w:rPr>
                <w:rFonts w:ascii="Times New Roman" w:hAnsi="Times New Roman" w:cs="Times New Roman"/>
              </w:rPr>
            </w:pPr>
            <w:r>
              <w:rPr>
                <w:rFonts w:ascii="Times New Roman" w:hAnsi="Times New Roman" w:cs="Times New Roman"/>
              </w:rPr>
              <w:lastRenderedPageBreak/>
              <w:t>Điểm a khoản 1 Điều 3 dự thảo Nghị quyết quy định “</w:t>
            </w:r>
            <w:r w:rsidR="009325DB" w:rsidRPr="001B5B92">
              <w:rPr>
                <w:rFonts w:ascii="Times New Roman" w:hAnsi="Times New Roman" w:cs="Times New Roman"/>
                <w:i/>
              </w:rPr>
              <w:t>Hội đồng nhân dân cấp xã quyết định giao chi tiết kế hoạch đầu tư công trung hạn và hằng năm vốn ngân sách trung ương cho từng danh mục và mức vốn bố trí cho từng nhiệm vụ, dự án đầu tư công bao gồm các thông tin: tên dự án, chủ đầu tư, địa điểm, cơ cấu nguồn vốn, quy mô, tổng mức đầu tư, thời gian thực hiện và các thông tin có liên quan đối với vốn giao cho cấp xã; giao chi tiết nguồn vốn sự nghiệp đến dự án thành phần, nội dung, hoạt động, lĩnh vực chi, mức vốn bố trí đối với vốn giao cho cấp xã</w:t>
            </w:r>
            <w:r>
              <w:rPr>
                <w:rFonts w:ascii="Times New Roman" w:hAnsi="Times New Roman" w:cs="Times New Roman"/>
                <w:i/>
              </w:rPr>
              <w:t>”</w:t>
            </w:r>
          </w:p>
        </w:tc>
        <w:tc>
          <w:tcPr>
            <w:tcW w:w="908" w:type="dxa"/>
            <w:vAlign w:val="center"/>
          </w:tcPr>
          <w:p w:rsidR="009325DB" w:rsidRPr="00BE4250" w:rsidRDefault="009325DB" w:rsidP="00AD4FC0">
            <w:pPr>
              <w:jc w:val="both"/>
              <w:rPr>
                <w:rFonts w:ascii="Times New Roman" w:hAnsi="Times New Roman" w:cs="Times New Roman"/>
              </w:rPr>
            </w:pPr>
            <w:r w:rsidRPr="00BE4250">
              <w:rPr>
                <w:rFonts w:ascii="Times New Roman" w:hAnsi="Times New Roman" w:cs="Times New Roman"/>
              </w:rPr>
              <w:t>Hội đồng nhân dân cấp xã</w:t>
            </w:r>
          </w:p>
        </w:tc>
        <w:tc>
          <w:tcPr>
            <w:tcW w:w="5895" w:type="dxa"/>
            <w:vMerge w:val="restart"/>
            <w:vAlign w:val="center"/>
          </w:tcPr>
          <w:p w:rsidR="009325DB" w:rsidRPr="00BE4250" w:rsidRDefault="009325DB" w:rsidP="00AD4FC0">
            <w:pPr>
              <w:ind w:firstLine="340"/>
              <w:jc w:val="both"/>
              <w:rPr>
                <w:rFonts w:ascii="Times New Roman" w:hAnsi="Times New Roman" w:cs="Times New Roman"/>
              </w:rPr>
            </w:pPr>
            <w:r w:rsidRPr="00BE4250">
              <w:rPr>
                <w:rFonts w:ascii="Times New Roman" w:hAnsi="Times New Roman" w:cs="Times New Roman"/>
              </w:rPr>
              <w:t>Việc phân cấp cho Ủy ban nhân dân tỉnh và Hội đồng nhân dân cấp xã quyết định giao chi tiết nguồn vốn ngân sách trung ương thực hiện các Chương trình mục tiêu quốc gia giai đoạn 2026–2030 được thực hiện trong bối cảnh Chính phủ ban hành Nghị định số 358/2025/NĐ-CP quy định cơ chế quản lý, tổ chức thực hiện các Chương trình mục tiêu quốc gia và Thủ tướng Chính phủ đã, đang tiếp tục giao kế hoạch vốn trung hạn, hằng năm cho các địa phương. Theo quy định, sau khi Trung ương giao kế hoạch vốn, Hội đồng nhân dân cấp tỉnh phải quyết định cơ chế phân cấp để làm cơ sở giao chi tiết kế hoạch đầu tư công, dự toán chi thường xuyên và tổ chức triển khai thực hiện các chương trình.</w:t>
            </w:r>
          </w:p>
          <w:p w:rsidR="009325DB" w:rsidRPr="00BE4250" w:rsidRDefault="009325DB" w:rsidP="00AD4FC0">
            <w:pPr>
              <w:ind w:firstLine="340"/>
              <w:jc w:val="both"/>
              <w:rPr>
                <w:rFonts w:ascii="Times New Roman" w:hAnsi="Times New Roman" w:cs="Times New Roman"/>
              </w:rPr>
            </w:pPr>
            <w:r w:rsidRPr="00BE4250">
              <w:rPr>
                <w:rFonts w:ascii="Times New Roman" w:hAnsi="Times New Roman" w:cs="Times New Roman"/>
              </w:rPr>
              <w:t>Việc ban hành Nghị quyết phân cấp là cần thiết và cấp bách nh</w:t>
            </w:r>
            <w:r w:rsidR="00DB2965">
              <w:rPr>
                <w:rFonts w:ascii="Times New Roman" w:hAnsi="Times New Roman" w:cs="Times New Roman"/>
              </w:rPr>
              <w:t>ă</w:t>
            </w:r>
            <w:r w:rsidRPr="00BE4250">
              <w:rPr>
                <w:rFonts w:ascii="Times New Roman" w:hAnsi="Times New Roman" w:cs="Times New Roman"/>
              </w:rPr>
              <w:t>m kịp thời cụ thể hóa quy định của pháp luật, đáp ứng yêu cầu triển khai các Chương trình mục tiêu quốc gia ngay từ đầu giai đoạn 2026–2030. Đồng thời, Nghị quyết góp phần thực hiện chủ trương đẩy mạnh phân cấp, phân quyền, phát huy tính chủ động, tự chịu trách nhiệm của Ủy ban nhân dân tỉnh và Hội đồng nhân dân cấp xã, phù hợp với mô hình chính quyền địa phương hai cấp và yêu cầu cải cách thủ tục hành chính. Nếu không thực hiện phân cấp, mỗi lần giao chi tiết kế hoạch vốn, điều chỉnh danh mục dự án hoặc phân bổ dự toán phát sinh đều phải trình Hội đồng nhân dân tỉnh xem xét, quyết định, làm kéo dài thời gian hoàn thiện thủ tục, ảnh hưởng đến tiến độ giao vốn, triển khai dự án, giải ngân vốn ngân sách trung ương và việc hoàn thành các mục tiêu của Chương trình mục tiêu quốc gia.</w:t>
            </w:r>
          </w:p>
          <w:p w:rsidR="009325DB" w:rsidRPr="00BE4250" w:rsidRDefault="009325DB" w:rsidP="00AD4FC0">
            <w:pPr>
              <w:ind w:firstLine="340"/>
              <w:jc w:val="both"/>
              <w:rPr>
                <w:rFonts w:ascii="Times New Roman" w:eastAsia="Times New Roman" w:hAnsi="Times New Roman" w:cs="Times New Roman"/>
              </w:rPr>
            </w:pPr>
            <w:r w:rsidRPr="00BE4250">
              <w:rPr>
                <w:rFonts w:ascii="Times New Roman" w:hAnsi="Times New Roman" w:cs="Times New Roman"/>
              </w:rPr>
              <w:t xml:space="preserve">Việc phân cấp sẽ tạo cơ sở pháp lý đầy đủ để Ủy ban nhân dân tỉnh và Hội đồng nhân dân cấp xã chủ động quyết định giao chi tiết kế hoạch đầu tư công và nguồn vốn sự nghiệp theo đúng phạm vi được giao, trong khi Hội đồng nhân dân tỉnh vẫn giữ </w:t>
            </w:r>
            <w:r w:rsidRPr="00BE4250">
              <w:rPr>
                <w:rFonts w:ascii="Times New Roman" w:hAnsi="Times New Roman" w:cs="Times New Roman"/>
              </w:rPr>
              <w:lastRenderedPageBreak/>
              <w:t>vai trò quyết định tổng mức vốn, nguyên tắc, tiêu chí và định mức phân bổ. Cơ chế này giúp giảm số lần trình Hội đồng nhân dân tỉnh đối với các nội dung mang tính kỹ thuật, rút ngắn thời gian giao kế hoạch vốn, nâng cao hiệu quả quản lý, sử dụng ngân sách nhà nước, đẩy nhanh tiến độ giải ngân, bảo đảm triển khai kịp thời các Chương trình mục tiêu quốc gia, đồng thời nâng cao trách nhiệm, tính chủ động của cơ quan được phân cấp nhưng vẫn bảo đảm sự kiểm tra, giám sát của Hội đồng nhân dân tỉnh theo quy định của pháp luật.</w:t>
            </w:r>
          </w:p>
        </w:tc>
        <w:tc>
          <w:tcPr>
            <w:tcW w:w="986" w:type="dxa"/>
            <w:vAlign w:val="center"/>
          </w:tcPr>
          <w:p w:rsidR="009325DB" w:rsidRPr="00BE4250" w:rsidRDefault="009325DB" w:rsidP="00AD4FC0">
            <w:pPr>
              <w:ind w:firstLine="340"/>
              <w:jc w:val="center"/>
              <w:rPr>
                <w:rFonts w:ascii="Times New Roman" w:eastAsia="Times New Roman" w:hAnsi="Times New Roman" w:cs="Times New Roman"/>
              </w:rPr>
            </w:pPr>
          </w:p>
        </w:tc>
      </w:tr>
      <w:tr w:rsidR="00BE4250" w:rsidRPr="00BE4250" w:rsidTr="00B82B37">
        <w:tc>
          <w:tcPr>
            <w:tcW w:w="675" w:type="dxa"/>
            <w:vAlign w:val="center"/>
          </w:tcPr>
          <w:p w:rsidR="009325DB" w:rsidRPr="004127FF" w:rsidRDefault="009325DB" w:rsidP="004127FF">
            <w:pPr>
              <w:ind w:left="360"/>
              <w:jc w:val="center"/>
              <w:rPr>
                <w:rFonts w:ascii="Times New Roman" w:hAnsi="Times New Roman" w:cs="Times New Roman"/>
              </w:rPr>
            </w:pPr>
          </w:p>
        </w:tc>
        <w:tc>
          <w:tcPr>
            <w:tcW w:w="3402" w:type="dxa"/>
            <w:vMerge/>
            <w:vAlign w:val="center"/>
          </w:tcPr>
          <w:p w:rsidR="009325DB" w:rsidRPr="00BE4250" w:rsidRDefault="009325DB" w:rsidP="00AD4FC0">
            <w:pPr>
              <w:ind w:firstLine="340"/>
              <w:jc w:val="both"/>
              <w:rPr>
                <w:rFonts w:ascii="Times New Roman" w:eastAsia="Times New Roman" w:hAnsi="Times New Roman" w:cs="Times New Roman"/>
              </w:rPr>
            </w:pPr>
          </w:p>
        </w:tc>
        <w:tc>
          <w:tcPr>
            <w:tcW w:w="2410" w:type="dxa"/>
            <w:vAlign w:val="center"/>
          </w:tcPr>
          <w:p w:rsidR="009325DB" w:rsidRPr="00BE4250" w:rsidRDefault="009325DB" w:rsidP="00F20510">
            <w:pPr>
              <w:ind w:firstLine="176"/>
              <w:jc w:val="both"/>
              <w:rPr>
                <w:rFonts w:ascii="Times New Roman" w:hAnsi="Times New Roman" w:cs="Times New Roman"/>
              </w:rPr>
            </w:pPr>
            <w:r w:rsidRPr="00BE4250">
              <w:rPr>
                <w:rFonts w:ascii="Times New Roman" w:hAnsi="Times New Roman" w:cs="Times New Roman"/>
                <w:iCs/>
                <w:lang w:val="sv-FI"/>
              </w:rPr>
              <w:t>Điểm b khoản 1 Điều 3 dự thảo Nghị quyết quy định ”</w:t>
            </w:r>
            <w:r w:rsidRPr="00A72FE0">
              <w:rPr>
                <w:rFonts w:ascii="Times New Roman" w:hAnsi="Times New Roman" w:cs="Times New Roman"/>
                <w:i/>
                <w:iCs/>
                <w:lang w:val="sv-FI"/>
              </w:rPr>
              <w:t>Ủy ban nhân dân tỉnh q</w:t>
            </w:r>
            <w:r w:rsidRPr="00A72FE0">
              <w:rPr>
                <w:rFonts w:ascii="Times New Roman" w:hAnsi="Times New Roman" w:cs="Times New Roman"/>
                <w:i/>
              </w:rPr>
              <w:t xml:space="preserve">uyết định giao chi tiết kế hoạch đầu tư công trung hạn và hằng </w:t>
            </w:r>
            <w:r w:rsidRPr="00A72FE0">
              <w:rPr>
                <w:rFonts w:ascii="Times New Roman" w:hAnsi="Times New Roman" w:cs="Times New Roman"/>
                <w:i/>
              </w:rPr>
              <w:lastRenderedPageBreak/>
              <w:t>năm vốn ngân sách trung ương cho từng danh mục và mức vốn bố trí cho từng nhiệm vụ, dự án đầu tư công bao gồm các thông tin: tên dự án, chủ đầu tư, địa điểm, cơ cấu nguồn vốn, quy mô, tổng mức đầu tư, thời gian thực hiện và các thông tin có liên quan đối với các cơ quan, đơn vị cấp tỉnh; giao chi tiết nguồn vốn sự nghiệp đến dự án thành phần, nội dung, hoạt động, lĩnh vực chi, mức vốn bố trí đối với các cơ quan, đơn vị cấp tỉnh”</w:t>
            </w:r>
          </w:p>
        </w:tc>
        <w:tc>
          <w:tcPr>
            <w:tcW w:w="908" w:type="dxa"/>
            <w:vAlign w:val="center"/>
          </w:tcPr>
          <w:p w:rsidR="009325DB" w:rsidRPr="00BE4250" w:rsidRDefault="009325DB" w:rsidP="00AD4FC0">
            <w:pPr>
              <w:jc w:val="both"/>
              <w:rPr>
                <w:rFonts w:ascii="Times New Roman" w:hAnsi="Times New Roman" w:cs="Times New Roman"/>
              </w:rPr>
            </w:pPr>
            <w:r w:rsidRPr="00BE4250">
              <w:rPr>
                <w:rFonts w:ascii="Times New Roman" w:hAnsi="Times New Roman" w:cs="Times New Roman"/>
              </w:rPr>
              <w:lastRenderedPageBreak/>
              <w:t>Ủy ban nhân dân tỉnh</w:t>
            </w:r>
          </w:p>
        </w:tc>
        <w:tc>
          <w:tcPr>
            <w:tcW w:w="5895" w:type="dxa"/>
            <w:vMerge/>
            <w:vAlign w:val="center"/>
          </w:tcPr>
          <w:p w:rsidR="009325DB" w:rsidRPr="00BE4250" w:rsidRDefault="009325DB" w:rsidP="00AD4FC0">
            <w:pPr>
              <w:ind w:firstLine="340"/>
              <w:jc w:val="both"/>
              <w:rPr>
                <w:rFonts w:ascii="Times New Roman" w:eastAsia="Times New Roman" w:hAnsi="Times New Roman" w:cs="Times New Roman"/>
              </w:rPr>
            </w:pPr>
          </w:p>
        </w:tc>
        <w:tc>
          <w:tcPr>
            <w:tcW w:w="986" w:type="dxa"/>
            <w:vAlign w:val="center"/>
          </w:tcPr>
          <w:p w:rsidR="009325DB" w:rsidRPr="00BE4250" w:rsidRDefault="009325DB" w:rsidP="00AD4FC0">
            <w:pPr>
              <w:ind w:firstLine="340"/>
              <w:jc w:val="center"/>
              <w:rPr>
                <w:rFonts w:ascii="Times New Roman" w:eastAsia="Times New Roman" w:hAnsi="Times New Roman" w:cs="Times New Roman"/>
              </w:rPr>
            </w:pP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642C07" w:rsidRPr="00BE4250" w:rsidRDefault="00F20510" w:rsidP="00AD4FC0">
            <w:pPr>
              <w:jc w:val="both"/>
              <w:rPr>
                <w:rFonts w:ascii="Times New Roman" w:hAnsi="Times New Roman" w:cs="Times New Roman"/>
                <w:b/>
                <w:bCs/>
              </w:rPr>
            </w:pPr>
            <w:r>
              <w:rPr>
                <w:rFonts w:ascii="Times New Roman" w:hAnsi="Times New Roman" w:cs="Times New Roman"/>
                <w:bCs/>
              </w:rPr>
              <w:t xml:space="preserve">* </w:t>
            </w:r>
            <w:r w:rsidR="00642C07" w:rsidRPr="00BE4250">
              <w:rPr>
                <w:rFonts w:ascii="Times New Roman" w:hAnsi="Times New Roman" w:cs="Times New Roman"/>
                <w:bCs/>
              </w:rPr>
              <w:t>Khoản 7 Điều 71 Luật Đầu tư công quy định:</w:t>
            </w:r>
          </w:p>
          <w:p w:rsidR="00642C07" w:rsidRPr="00BE4250" w:rsidRDefault="00642C07" w:rsidP="00AD4FC0">
            <w:pPr>
              <w:jc w:val="both"/>
              <w:rPr>
                <w:rFonts w:ascii="Times New Roman" w:hAnsi="Times New Roman" w:cs="Times New Roman"/>
                <w:i/>
                <w:iCs/>
              </w:rPr>
            </w:pPr>
            <w:r w:rsidRPr="00BE4250">
              <w:rPr>
                <w:rFonts w:ascii="Times New Roman" w:hAnsi="Times New Roman" w:cs="Times New Roman"/>
                <w:i/>
                <w:iCs/>
              </w:rPr>
              <w:t>“7. Hội đồng nhân dân các cấp điều chỉnh kế hoạch đầu tư công trung hạn và hằng năm vốn ngân sách địa phương trong các trường hợp sau đây:</w:t>
            </w:r>
          </w:p>
          <w:p w:rsidR="00642C07" w:rsidRPr="00BE4250" w:rsidRDefault="00642C07" w:rsidP="00AD4FC0">
            <w:pPr>
              <w:jc w:val="both"/>
              <w:rPr>
                <w:rFonts w:ascii="Times New Roman" w:hAnsi="Times New Roman" w:cs="Times New Roman"/>
                <w:i/>
                <w:iCs/>
                <w:spacing w:val="-12"/>
              </w:rPr>
            </w:pPr>
            <w:r w:rsidRPr="00BE4250">
              <w:rPr>
                <w:rFonts w:ascii="Times New Roman" w:hAnsi="Times New Roman" w:cs="Times New Roman"/>
                <w:i/>
                <w:iCs/>
                <w:spacing w:val="-12"/>
              </w:rPr>
              <w:t>a) Do điều chỉnh mục tiêu của kế hoạch phát triển kinh tế - xã hội của địa phương;</w:t>
            </w:r>
          </w:p>
          <w:p w:rsidR="00642C07" w:rsidRPr="00BE4250" w:rsidRDefault="00642C07" w:rsidP="00AD4FC0">
            <w:pPr>
              <w:jc w:val="both"/>
              <w:rPr>
                <w:rFonts w:ascii="Times New Roman" w:hAnsi="Times New Roman" w:cs="Times New Roman"/>
                <w:i/>
                <w:iCs/>
              </w:rPr>
            </w:pPr>
            <w:r w:rsidRPr="00BE4250">
              <w:rPr>
                <w:rFonts w:ascii="Times New Roman" w:hAnsi="Times New Roman" w:cs="Times New Roman"/>
                <w:i/>
                <w:iCs/>
              </w:rPr>
              <w:t>b) Do thay đổi đột biến về cân đối thu ngân sách địa phương hoặc khả năng huy động các nguồn vốn của địa phương;”</w:t>
            </w:r>
          </w:p>
          <w:p w:rsidR="00295362" w:rsidRPr="00BE4250" w:rsidRDefault="00295362" w:rsidP="00AD4FC0">
            <w:pPr>
              <w:ind w:firstLine="340"/>
              <w:jc w:val="both"/>
              <w:rPr>
                <w:rFonts w:ascii="Times New Roman" w:eastAsia="Times New Roman" w:hAnsi="Times New Roman" w:cs="Times New Roman"/>
              </w:rPr>
            </w:pPr>
          </w:p>
        </w:tc>
        <w:tc>
          <w:tcPr>
            <w:tcW w:w="2410" w:type="dxa"/>
            <w:vAlign w:val="center"/>
          </w:tcPr>
          <w:p w:rsidR="00295362" w:rsidRPr="00BE4250" w:rsidRDefault="00295362" w:rsidP="000E41EA">
            <w:pPr>
              <w:ind w:firstLine="340"/>
              <w:jc w:val="both"/>
              <w:rPr>
                <w:rFonts w:ascii="Times New Roman" w:eastAsia="Times New Roman" w:hAnsi="Times New Roman" w:cs="Times New Roman"/>
              </w:rPr>
            </w:pPr>
            <w:r w:rsidRPr="00BE4250">
              <w:rPr>
                <w:rFonts w:ascii="Times New Roman" w:eastAsia="Times New Roman" w:hAnsi="Times New Roman" w:cs="Times New Roman"/>
              </w:rPr>
              <w:t xml:space="preserve">Điểm </w:t>
            </w:r>
            <w:r w:rsidR="000E41EA">
              <w:rPr>
                <w:rFonts w:ascii="Times New Roman" w:eastAsia="Times New Roman" w:hAnsi="Times New Roman" w:cs="Times New Roman"/>
              </w:rPr>
              <w:t>c</w:t>
            </w:r>
            <w:r w:rsidRPr="00BE4250">
              <w:rPr>
                <w:rFonts w:ascii="Times New Roman" w:eastAsia="Times New Roman" w:hAnsi="Times New Roman" w:cs="Times New Roman"/>
              </w:rPr>
              <w:t xml:space="preserve"> khoản 1 Điều 3 dự thảo Nghị quyết quy định “</w:t>
            </w:r>
            <w:r w:rsidRPr="00F20510">
              <w:rPr>
                <w:rFonts w:ascii="Times New Roman" w:eastAsia="Times New Roman" w:hAnsi="Times New Roman" w:cs="Times New Roman"/>
                <w:i/>
              </w:rPr>
              <w:t>Ủy ban nhân dân tỉnh q</w:t>
            </w:r>
            <w:r w:rsidRPr="00F20510">
              <w:rPr>
                <w:rFonts w:ascii="Times New Roman" w:hAnsi="Times New Roman" w:cs="Times New Roman"/>
                <w:i/>
              </w:rPr>
              <w:t xml:space="preserve">uyết định điều chỉnh kế hoạch đầu tư công trung hạn nguồn ngân sách địa phương, bao gồm danh mục và mức vốn bố trí cho từng dự án trong các trường hợp: điều chỉnh mục tiêu của kế hoạch phát triển kinh tế - xã hội của địa phương, thay đổi đột biến về cân đối thu ngân sách địa phương hoặc khả năng huy động các </w:t>
            </w:r>
            <w:r w:rsidRPr="00F20510">
              <w:rPr>
                <w:rFonts w:ascii="Times New Roman" w:hAnsi="Times New Roman" w:cs="Times New Roman"/>
                <w:i/>
              </w:rPr>
              <w:lastRenderedPageBreak/>
              <w:t>nguồn vốn của địa phương</w:t>
            </w:r>
          </w:p>
        </w:tc>
        <w:tc>
          <w:tcPr>
            <w:tcW w:w="908" w:type="dxa"/>
            <w:vAlign w:val="center"/>
          </w:tcPr>
          <w:p w:rsidR="00295362" w:rsidRPr="00BE4250" w:rsidRDefault="00295362" w:rsidP="00AD4FC0">
            <w:pPr>
              <w:jc w:val="both"/>
              <w:rPr>
                <w:rFonts w:ascii="Times New Roman" w:eastAsia="Times New Roman" w:hAnsi="Times New Roman" w:cs="Times New Roman"/>
              </w:rPr>
            </w:pPr>
            <w:r w:rsidRPr="00BE4250">
              <w:rPr>
                <w:rFonts w:ascii="Times New Roman" w:eastAsia="Times New Roman" w:hAnsi="Times New Roman" w:cs="Times New Roman"/>
              </w:rPr>
              <w:lastRenderedPageBreak/>
              <w:t>Ủy ban nhân dân tỉnh</w:t>
            </w:r>
          </w:p>
        </w:tc>
        <w:tc>
          <w:tcPr>
            <w:tcW w:w="5895" w:type="dxa"/>
            <w:vAlign w:val="center"/>
          </w:tcPr>
          <w:p w:rsidR="00A37666" w:rsidRPr="00BE4250" w:rsidRDefault="00642C07" w:rsidP="00AD4FC0">
            <w:pPr>
              <w:ind w:firstLine="340"/>
              <w:jc w:val="both"/>
              <w:rPr>
                <w:rFonts w:ascii="Times New Roman" w:hAnsi="Times New Roman" w:cs="Times New Roman"/>
              </w:rPr>
            </w:pPr>
            <w:r w:rsidRPr="00BE4250">
              <w:rPr>
                <w:rFonts w:ascii="Times New Roman" w:hAnsi="Times New Roman" w:cs="Times New Roman"/>
              </w:rPr>
              <w:t>Luật Đầu tư công quy định Hội đồng nhân dân cấp tỉnh quyết định điều chỉnh kế hoạch đầu tư công trung hạn khi có thay đổi mục tiêu phát triển kinh tế - xã hội của địa phương hoặc phát sinh biến động lớn về cân đối thu ngân sách, khả năng huy động các nguồn vốn. Thực tiễn cho thấy, trong quá trình thực hiện kế ho</w:t>
            </w:r>
            <w:bookmarkStart w:id="0" w:name="_GoBack"/>
            <w:bookmarkEnd w:id="0"/>
            <w:r w:rsidRPr="00BE4250">
              <w:rPr>
                <w:rFonts w:ascii="Times New Roman" w:hAnsi="Times New Roman" w:cs="Times New Roman"/>
              </w:rPr>
              <w:t>ạch đầu tư công trung hạn thường xuyên phát sinh các yếu tố khách quan làm thay đổi tổng mức vốn trung hạn đã được quyết định, đòi hỏi phải kịp thời điều chỉnh để bảo đảm tính liên tục trong quản lý, điều hành và không làm gián đoạn việc triển khai các chương trình, dự án đầu tư. Nếu phải chờ Hội đồng nhân dân tỉnh tổ chức kỳ họp để xem xét, quyết định sẽ kéo dài thời gian xử lý, ảnh hưởng đến tiến độ phân bổ, điều chỉnh kế hoạch vốn, tiến độ thực hiện dự án và mục tiêu giải ngân vốn đầu tư công.</w:t>
            </w:r>
          </w:p>
          <w:p w:rsidR="00642C07" w:rsidRPr="00BE4250" w:rsidRDefault="00642C07" w:rsidP="00AD4FC0">
            <w:pPr>
              <w:ind w:firstLine="340"/>
              <w:jc w:val="both"/>
              <w:rPr>
                <w:rFonts w:ascii="Times New Roman" w:hAnsi="Times New Roman" w:cs="Times New Roman"/>
              </w:rPr>
            </w:pPr>
            <w:r w:rsidRPr="00BE4250">
              <w:rPr>
                <w:rFonts w:ascii="Times New Roman" w:hAnsi="Times New Roman" w:cs="Times New Roman"/>
              </w:rPr>
              <w:t xml:space="preserve">Việc phân cấp cho Ủy ban nhân dân tỉnh quyết định điều chỉnh kế hoạch đầu tư công trung hạn trong các trường hợp luật quy định là cần thiết nhằm tăng tính chủ động, linh hoạt trong điều hành, kịp thời ứng phó với những biến động về nguồn lực </w:t>
            </w:r>
            <w:r w:rsidRPr="00BE4250">
              <w:rPr>
                <w:rFonts w:ascii="Times New Roman" w:hAnsi="Times New Roman" w:cs="Times New Roman"/>
              </w:rPr>
              <w:lastRenderedPageBreak/>
              <w:t>đầu tư và yêu cầu phát triển kinh tế - xã hội của địa phương, phù hợp với chủ trương đẩy mạnh phân cấp, phân quyền của Trung ương.</w:t>
            </w:r>
          </w:p>
          <w:p w:rsidR="00642C07" w:rsidRPr="00BE4250" w:rsidRDefault="00642C07" w:rsidP="00AD4FC0">
            <w:pPr>
              <w:ind w:firstLine="340"/>
              <w:jc w:val="both"/>
              <w:rPr>
                <w:rFonts w:ascii="Times New Roman" w:eastAsia="Times New Roman" w:hAnsi="Times New Roman" w:cs="Times New Roman"/>
              </w:rPr>
            </w:pPr>
            <w:r w:rsidRPr="00BE4250">
              <w:rPr>
                <w:rFonts w:ascii="Times New Roman" w:hAnsi="Times New Roman" w:cs="Times New Roman"/>
              </w:rPr>
              <w:t>Sau khi được phân cấp, Ủy ban nhân dân tỉnh có cơ sở pháp lý để chủ động điều chỉnh kế hoạch đầu tư công trung hạn, rút ngắn quy trình xử lý, đẩy nhanh việc phân bổ, điều chỉnh nguồn vốn và triển khai các chương trình, dự án, góp phần nâng cao hiệu quả sử dụng vốn đầu tư công và bảo đảm mục tiêu giải ngân. Đồng thời, việc phân cấp vẫn bảo đảm vai trò giám sát của Hội đồng nhân dân tỉnh đối với việc thực hiện nhiệm vụ được phân cấp theo quy định của pháp luật; không làm phát sinh tổ chức bộ máy, biên chế, kinh phí hoặc thủ tục hành chính mới, bảo đảm tính khả thi và nâng cao hiệu quả quản lý đầu tư công trên địa bàn tỉnh.</w:t>
            </w:r>
          </w:p>
        </w:tc>
        <w:tc>
          <w:tcPr>
            <w:tcW w:w="986" w:type="dxa"/>
            <w:vAlign w:val="center"/>
          </w:tcPr>
          <w:p w:rsidR="00295362" w:rsidRPr="00BE4250" w:rsidRDefault="00295362" w:rsidP="00AD4FC0">
            <w:pPr>
              <w:ind w:firstLine="340"/>
              <w:jc w:val="center"/>
              <w:rPr>
                <w:rFonts w:ascii="Times New Roman" w:eastAsia="Times New Roman" w:hAnsi="Times New Roman" w:cs="Times New Roman"/>
              </w:rPr>
            </w:pP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A50C4B" w:rsidRPr="00BE4250" w:rsidRDefault="000E41EA" w:rsidP="00AD4FC0">
            <w:pPr>
              <w:jc w:val="both"/>
              <w:rPr>
                <w:rFonts w:ascii="Times New Roman" w:hAnsi="Times New Roman" w:cs="Times New Roman"/>
              </w:rPr>
            </w:pPr>
            <w:r>
              <w:rPr>
                <w:rFonts w:ascii="Times New Roman" w:hAnsi="Times New Roman" w:cs="Times New Roman"/>
              </w:rPr>
              <w:t xml:space="preserve">* </w:t>
            </w:r>
            <w:r w:rsidR="00A50C4B" w:rsidRPr="00BE4250">
              <w:rPr>
                <w:rFonts w:ascii="Times New Roman" w:hAnsi="Times New Roman" w:cs="Times New Roman"/>
              </w:rPr>
              <w:t>Khoản 2, khoản 3 Điều 88 Luật Đầu tư công quy định:</w:t>
            </w:r>
          </w:p>
          <w:p w:rsidR="00A50C4B" w:rsidRPr="00BE4250" w:rsidRDefault="00A50C4B" w:rsidP="00AD4FC0">
            <w:pPr>
              <w:jc w:val="both"/>
              <w:rPr>
                <w:rFonts w:ascii="Times New Roman" w:hAnsi="Times New Roman" w:cs="Times New Roman"/>
                <w:i/>
                <w:iCs/>
              </w:rPr>
            </w:pPr>
            <w:r w:rsidRPr="00BE4250">
              <w:rPr>
                <w:rFonts w:ascii="Times New Roman" w:hAnsi="Times New Roman" w:cs="Times New Roman"/>
                <w:i/>
                <w:iCs/>
              </w:rPr>
              <w:t>“Điều 88. Nhiệm vụ, quyền hạn của Hội đồng nhân dân các cấp</w:t>
            </w:r>
          </w:p>
          <w:p w:rsidR="00A50C4B" w:rsidRPr="00BE4250" w:rsidRDefault="00A50C4B" w:rsidP="00AD4FC0">
            <w:pPr>
              <w:jc w:val="both"/>
              <w:rPr>
                <w:rFonts w:ascii="Times New Roman" w:hAnsi="Times New Roman" w:cs="Times New Roman"/>
                <w:i/>
                <w:iCs/>
              </w:rPr>
            </w:pPr>
            <w:r w:rsidRPr="00BE4250">
              <w:rPr>
                <w:rFonts w:ascii="Times New Roman" w:hAnsi="Times New Roman" w:cs="Times New Roman"/>
                <w:i/>
                <w:iCs/>
              </w:rPr>
              <w:t>2. Xem xét, cho ý kiến về dự kiến kế hoạch đầu tư công trung hạn và hằng năm của địa phương, bao gồm danh mục và mức vốn bố trí cho từng dự án vốn ngân sách trung ương bổ sung có mục tiêu.</w:t>
            </w:r>
          </w:p>
          <w:p w:rsidR="00A50C4B" w:rsidRPr="00BE4250" w:rsidRDefault="00A50C4B" w:rsidP="00AD4FC0">
            <w:pPr>
              <w:jc w:val="both"/>
              <w:rPr>
                <w:rFonts w:ascii="Times New Roman" w:hAnsi="Times New Roman" w:cs="Times New Roman"/>
                <w:i/>
                <w:iCs/>
              </w:rPr>
            </w:pPr>
            <w:r w:rsidRPr="00BE4250">
              <w:rPr>
                <w:rFonts w:ascii="Times New Roman" w:hAnsi="Times New Roman" w:cs="Times New Roman"/>
                <w:i/>
                <w:iCs/>
              </w:rPr>
              <w:t>3. Quyết định kế hoạch đầu tư công trung hạn và hằng năm của địa phương, bao gồm danh mục và mức vốn bố trí cho từng dự án sử dụng vốn ngân sách địa phương.”</w:t>
            </w:r>
          </w:p>
          <w:p w:rsidR="00295362" w:rsidRPr="00BE4250" w:rsidRDefault="00295362" w:rsidP="00AD4FC0">
            <w:pPr>
              <w:ind w:firstLine="340"/>
              <w:jc w:val="both"/>
              <w:rPr>
                <w:rFonts w:ascii="Times New Roman" w:hAnsi="Times New Roman" w:cs="Times New Roman"/>
              </w:rPr>
            </w:pPr>
          </w:p>
        </w:tc>
        <w:tc>
          <w:tcPr>
            <w:tcW w:w="2410" w:type="dxa"/>
            <w:vAlign w:val="center"/>
          </w:tcPr>
          <w:p w:rsidR="00295362" w:rsidRPr="00BE4250" w:rsidRDefault="00295362" w:rsidP="000E41EA">
            <w:pPr>
              <w:ind w:firstLine="340"/>
              <w:jc w:val="both"/>
              <w:rPr>
                <w:rFonts w:ascii="Times New Roman" w:hAnsi="Times New Roman" w:cs="Times New Roman"/>
              </w:rPr>
            </w:pPr>
            <w:r w:rsidRPr="00BE4250">
              <w:rPr>
                <w:rFonts w:ascii="Times New Roman" w:hAnsi="Times New Roman" w:cs="Times New Roman"/>
              </w:rPr>
              <w:t xml:space="preserve">Điểm </w:t>
            </w:r>
            <w:r w:rsidR="000E41EA">
              <w:rPr>
                <w:rFonts w:ascii="Times New Roman" w:hAnsi="Times New Roman" w:cs="Times New Roman"/>
              </w:rPr>
              <w:t>d</w:t>
            </w:r>
            <w:r w:rsidRPr="00BE4250">
              <w:rPr>
                <w:rFonts w:ascii="Times New Roman" w:hAnsi="Times New Roman" w:cs="Times New Roman"/>
              </w:rPr>
              <w:t xml:space="preserve"> khoản 1 Điều 3 dự thảo Nghị quyết quy định “</w:t>
            </w:r>
            <w:r w:rsidRPr="00BE4250">
              <w:rPr>
                <w:rFonts w:ascii="Times New Roman" w:hAnsi="Times New Roman" w:cs="Times New Roman"/>
                <w:iCs/>
                <w:lang w:val="sv-FI"/>
              </w:rPr>
              <w:t>Ủy ban nhân dân tỉnh q</w:t>
            </w:r>
            <w:r w:rsidRPr="00BE4250">
              <w:rPr>
                <w:rFonts w:ascii="Times New Roman" w:hAnsi="Times New Roman" w:cs="Times New Roman"/>
                <w:shd w:val="clear" w:color="auto" w:fill="FFFFFF"/>
              </w:rPr>
              <w:t>uyết định giao kế hoạch vốn đầu tư công hằng năm nguồn ngân sách nhà nước”</w:t>
            </w: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327F82" w:rsidRPr="00BE4250" w:rsidRDefault="00A50C4B" w:rsidP="00AD4FC0">
            <w:pPr>
              <w:ind w:firstLine="340"/>
              <w:jc w:val="both"/>
              <w:rPr>
                <w:rFonts w:ascii="Times New Roman" w:hAnsi="Times New Roman" w:cs="Times New Roman"/>
              </w:rPr>
            </w:pPr>
            <w:r w:rsidRPr="00BE4250">
              <w:rPr>
                <w:rFonts w:ascii="Times New Roman" w:hAnsi="Times New Roman" w:cs="Times New Roman"/>
              </w:rPr>
              <w:t>Luật Đầu tư công giao Hội đồng nhân dân cấp tỉnh quyết định kế hoạch đầu tư công hằng năm của địa phương và cho ý kiến đối với danh mục, mức vốn các dự án sử dụng vốn ngân sách trung ương bổ sung có mục tiêu. Tuy nhiên, trong quá trình thực hiện thường xuyên phát sinh nhu cầu điều chỉnh, bổ sung danh mục dự án, phân bổ chi tiết hoặc điều chỉnh kế hoạch vốn để đáp ứng yêu cầu thực tiễn và tiến độ triển khai các chương trình, dự án. Nếu mọi nội dung đều phải trình Hội đồng nhân dân tỉnh xem xét tại kỳ họp sẽ kéo dài thời gian xử lý, ảnh hưởng đến tiến độ giao kế hoạch vốn, triển khai dự án và giải ngân vốn đầu tư công.</w:t>
            </w:r>
          </w:p>
          <w:p w:rsidR="00A50C4B" w:rsidRPr="00BE4250" w:rsidRDefault="00A50C4B" w:rsidP="00AD4FC0">
            <w:pPr>
              <w:ind w:firstLine="340"/>
              <w:jc w:val="both"/>
              <w:rPr>
                <w:rFonts w:ascii="Times New Roman" w:hAnsi="Times New Roman" w:cs="Times New Roman"/>
              </w:rPr>
            </w:pPr>
            <w:r w:rsidRPr="00BE4250">
              <w:rPr>
                <w:rFonts w:ascii="Times New Roman" w:hAnsi="Times New Roman" w:cs="Times New Roman"/>
              </w:rPr>
              <w:t>Việc phân cấp cho Ủy ban nhân dân tỉnh quyết định giao kế hoạch vốn đầu tư công hằng năm là cần thiết nhằm cụ thể hóa chủ trương đẩy mạnh phân cấp, phân quyền, tăng tính chủ động, linh hoạt trong điều hành đầu tư công, bảo đảm kịp thời phân bổ, điều chỉnh kế hoạch vốn theo yêu cầu thực tiễn và nâng cao hiệu quả quản lý nhà nước.</w:t>
            </w:r>
          </w:p>
          <w:p w:rsidR="00A50C4B" w:rsidRPr="00BE4250" w:rsidRDefault="00A50C4B" w:rsidP="00AD4FC0">
            <w:pPr>
              <w:ind w:firstLine="340"/>
              <w:jc w:val="both"/>
              <w:rPr>
                <w:rFonts w:ascii="Times New Roman" w:hAnsi="Times New Roman" w:cs="Times New Roman"/>
              </w:rPr>
            </w:pPr>
            <w:r w:rsidRPr="00BE4250">
              <w:rPr>
                <w:rFonts w:ascii="Times New Roman" w:hAnsi="Times New Roman" w:cs="Times New Roman"/>
              </w:rPr>
              <w:t xml:space="preserve">Sau khi được phân cấp, Ủy ban nhân dân tỉnh có cơ sở pháp lý để chủ động quyết định giao và điều chỉnh kế hoạch vốn đầu tư công hằng năm, rút ngắn quy trình xử lý, giảm thủ tục hành chính, đẩy nhanh tiến độ thực hiện các chương trình, dự án và nâng cao tỷ lệ giải ngân vốn đầu tư công. Đồng thời, việc phân cấp vẫn bảo đảm Hội đồng nhân dân tỉnh thực hiện chức năng quyết định các chủ trương lớn, giám sát việc thực hiện theo quy </w:t>
            </w:r>
            <w:r w:rsidRPr="00BE4250">
              <w:rPr>
                <w:rFonts w:ascii="Times New Roman" w:hAnsi="Times New Roman" w:cs="Times New Roman"/>
              </w:rPr>
              <w:lastRenderedPageBreak/>
              <w:t>định của pháp luật; không làm phát sinh tổ chức bộ máy, biên chế, kinh phí hoặc thủ tục hành chính mới, bảo đảm tính khả thi và nâng cao hiệu quả sử dụng nguồn vốn đầu tư công.</w:t>
            </w:r>
          </w:p>
        </w:tc>
        <w:tc>
          <w:tcPr>
            <w:tcW w:w="986" w:type="dxa"/>
            <w:vAlign w:val="center"/>
          </w:tcPr>
          <w:p w:rsidR="00295362" w:rsidRPr="00BE4250" w:rsidRDefault="00295362" w:rsidP="00AD4FC0">
            <w:pPr>
              <w:ind w:firstLine="340"/>
              <w:jc w:val="center"/>
              <w:rPr>
                <w:rFonts w:ascii="Times New Roman" w:hAnsi="Times New Roman" w:cs="Times New Roman"/>
              </w:rPr>
            </w:pP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FA19CA" w:rsidRPr="00BE4250" w:rsidRDefault="000E41EA" w:rsidP="00AD4FC0">
            <w:pPr>
              <w:jc w:val="both"/>
              <w:rPr>
                <w:rFonts w:ascii="Times New Roman" w:hAnsi="Times New Roman" w:cs="Times New Roman"/>
              </w:rPr>
            </w:pPr>
            <w:r>
              <w:rPr>
                <w:rFonts w:ascii="Times New Roman" w:hAnsi="Times New Roman" w:cs="Times New Roman"/>
              </w:rPr>
              <w:t xml:space="preserve">* </w:t>
            </w:r>
            <w:r w:rsidR="00FA19CA" w:rsidRPr="00BE4250">
              <w:rPr>
                <w:rFonts w:ascii="Times New Roman" w:hAnsi="Times New Roman" w:cs="Times New Roman"/>
              </w:rPr>
              <w:t>Điểm đ, e, g Khoản 3 Điều 2 Thông tư 143/TT-BTC ngày 31/12/2025 của Bộ trưởng Bộ Tài chính quy định:</w:t>
            </w:r>
          </w:p>
          <w:p w:rsidR="00FA19CA" w:rsidRPr="00BE4250" w:rsidRDefault="00FA19CA" w:rsidP="00AD4FC0">
            <w:pPr>
              <w:pStyle w:val="NormalWeb"/>
              <w:spacing w:before="0" w:beforeAutospacing="0" w:after="0" w:afterAutospacing="0"/>
              <w:jc w:val="both"/>
              <w:rPr>
                <w:i/>
                <w:sz w:val="22"/>
                <w:szCs w:val="22"/>
              </w:rPr>
            </w:pPr>
            <w:r w:rsidRPr="00BE4250">
              <w:rPr>
                <w:i/>
                <w:iCs/>
                <w:sz w:val="22"/>
                <w:szCs w:val="22"/>
              </w:rPr>
              <w:t>"</w:t>
            </w:r>
            <w:r w:rsidRPr="00BE4250">
              <w:rPr>
                <w:i/>
                <w:sz w:val="22"/>
                <w:szCs w:val="22"/>
              </w:rPr>
              <w:t xml:space="preserve"> đ) Chi tiền công cho các thành viên Hội đồng và thư ký Hội đồng</w:t>
            </w:r>
            <w:r w:rsidR="002848CC" w:rsidRPr="00BE4250">
              <w:rPr>
                <w:i/>
                <w:sz w:val="22"/>
                <w:szCs w:val="22"/>
              </w:rPr>
              <w:t>..</w:t>
            </w:r>
            <w:r w:rsidRPr="00BE4250">
              <w:rPr>
                <w:i/>
                <w:sz w:val="22"/>
                <w:szCs w:val="22"/>
              </w:rPr>
              <w:t>danh hiệu vinh dự nhà nước</w:t>
            </w:r>
            <w:r w:rsidR="002848CC" w:rsidRPr="00BE4250">
              <w:rPr>
                <w:i/>
                <w:sz w:val="22"/>
                <w:szCs w:val="22"/>
              </w:rPr>
              <w:t>: 250.000</w:t>
            </w:r>
            <w:r w:rsidR="00D60284" w:rsidRPr="00BE4250">
              <w:rPr>
                <w:i/>
                <w:sz w:val="22"/>
                <w:szCs w:val="22"/>
              </w:rPr>
              <w:t xml:space="preserve"> </w:t>
            </w:r>
            <w:r w:rsidRPr="00BE4250">
              <w:rPr>
                <w:i/>
                <w:sz w:val="22"/>
                <w:szCs w:val="22"/>
              </w:rPr>
              <w:t>đồng/thànhviên/hồ sơ;</w:t>
            </w:r>
          </w:p>
          <w:p w:rsidR="00FA19CA" w:rsidRPr="00BE4250" w:rsidRDefault="00FA19CA" w:rsidP="00AD4FC0">
            <w:pPr>
              <w:pStyle w:val="NormalWeb"/>
              <w:spacing w:before="0" w:beforeAutospacing="0" w:after="0" w:afterAutospacing="0"/>
              <w:jc w:val="both"/>
              <w:rPr>
                <w:i/>
                <w:sz w:val="22"/>
                <w:szCs w:val="22"/>
              </w:rPr>
            </w:pPr>
            <w:r w:rsidRPr="00BE4250">
              <w:rPr>
                <w:i/>
                <w:sz w:val="22"/>
                <w:szCs w:val="22"/>
              </w:rPr>
              <w:t xml:space="preserve">e) Chi tiền công cho các thành viên Hội đồng thẩm định, thư ký Hội đồng các cấp </w:t>
            </w:r>
            <w:r w:rsidR="00E1657F" w:rsidRPr="00BE4250">
              <w:rPr>
                <w:i/>
                <w:sz w:val="22"/>
                <w:szCs w:val="22"/>
              </w:rPr>
              <w:t>…</w:t>
            </w:r>
            <w:r w:rsidRPr="00BE4250">
              <w:rPr>
                <w:i/>
                <w:sz w:val="22"/>
                <w:szCs w:val="22"/>
              </w:rPr>
              <w:t xml:space="preserve"> xét tặng “Giải thưởng Hồ Chí Minh” và “Giải thưởng Nhà nước”: 700.000 đồng/thành viên/</w:t>
            </w:r>
            <w:r w:rsidR="00E1657F" w:rsidRPr="00BE4250">
              <w:rPr>
                <w:i/>
                <w:sz w:val="22"/>
                <w:szCs w:val="22"/>
              </w:rPr>
              <w:t xml:space="preserve"> </w:t>
            </w:r>
            <w:r w:rsidRPr="00BE4250">
              <w:rPr>
                <w:i/>
                <w:sz w:val="22"/>
                <w:szCs w:val="22"/>
              </w:rPr>
              <w:t xml:space="preserve">công trình/tác phẩm. </w:t>
            </w:r>
            <w:r w:rsidR="00E1657F" w:rsidRPr="00BE4250">
              <w:rPr>
                <w:i/>
                <w:sz w:val="22"/>
                <w:szCs w:val="22"/>
              </w:rPr>
              <w:t>…</w:t>
            </w:r>
            <w:r w:rsidRPr="00BE4250">
              <w:rPr>
                <w:i/>
                <w:sz w:val="22"/>
                <w:szCs w:val="22"/>
              </w:rPr>
              <w:t>;</w:t>
            </w:r>
          </w:p>
          <w:p w:rsidR="00FA19CA" w:rsidRPr="00BE4250" w:rsidRDefault="00FA19CA" w:rsidP="00AD4FC0">
            <w:pPr>
              <w:jc w:val="both"/>
              <w:rPr>
                <w:rFonts w:ascii="Times New Roman" w:hAnsi="Times New Roman" w:cs="Times New Roman"/>
                <w:i/>
                <w:iCs/>
              </w:rPr>
            </w:pPr>
            <w:r w:rsidRPr="00BE4250">
              <w:rPr>
                <w:rFonts w:ascii="Times New Roman" w:hAnsi="Times New Roman" w:cs="Times New Roman"/>
                <w:i/>
                <w:iCs/>
              </w:rPr>
              <w:t>g) Chi tiền công họp xét danh hiêu thi đua, hình thức khen thưởng của các Hội đồng theo quy định của Luật thi đua - Khen thưởng và nghị định số 152/2025/NĐ-CP:</w:t>
            </w:r>
          </w:p>
          <w:p w:rsidR="00295362" w:rsidRPr="00BE4250" w:rsidRDefault="00FA19CA" w:rsidP="00AD4FC0">
            <w:pPr>
              <w:jc w:val="both"/>
              <w:rPr>
                <w:rFonts w:ascii="Times New Roman" w:hAnsi="Times New Roman" w:cs="Times New Roman"/>
              </w:rPr>
            </w:pPr>
            <w:r w:rsidRPr="00BE4250">
              <w:rPr>
                <w:rFonts w:ascii="Times New Roman" w:hAnsi="Times New Roman" w:cs="Times New Roman"/>
                <w:i/>
                <w:iCs/>
              </w:rPr>
              <w:t>…Các mức chi quy định tại điểm đ, điểm e và điểm g nêu trên là mức chi tối đa….HĐND cấp tỉnh ( hoặc cơ quan được phân cấp ở địa phương) quy định mức chi cụ thể cho các cơ quan, đơn vị thuộc phạm vi quản lý phù hợp với dự oán được cấp có thẩm quyền giao và khả năng ngân sách địa phương”</w:t>
            </w:r>
          </w:p>
        </w:tc>
        <w:tc>
          <w:tcPr>
            <w:tcW w:w="2410" w:type="dxa"/>
            <w:vAlign w:val="center"/>
          </w:tcPr>
          <w:p w:rsidR="00295362" w:rsidRPr="00BE4250" w:rsidRDefault="00295362" w:rsidP="000E41EA">
            <w:pPr>
              <w:ind w:firstLine="340"/>
              <w:jc w:val="both"/>
              <w:rPr>
                <w:rFonts w:ascii="Times New Roman" w:hAnsi="Times New Roman" w:cs="Times New Roman"/>
              </w:rPr>
            </w:pPr>
            <w:r w:rsidRPr="00BE4250">
              <w:rPr>
                <w:rFonts w:ascii="Times New Roman" w:hAnsi="Times New Roman" w:cs="Times New Roman"/>
              </w:rPr>
              <w:t xml:space="preserve">Điểm </w:t>
            </w:r>
            <w:r w:rsidR="000E41EA">
              <w:rPr>
                <w:rFonts w:ascii="Times New Roman" w:hAnsi="Times New Roman" w:cs="Times New Roman"/>
              </w:rPr>
              <w:t>đ</w:t>
            </w:r>
            <w:r w:rsidRPr="00BE4250">
              <w:rPr>
                <w:rFonts w:ascii="Times New Roman" w:hAnsi="Times New Roman" w:cs="Times New Roman"/>
              </w:rPr>
              <w:t xml:space="preserve"> khoản 1 Điều 3 dự thảo Nghị quyết quy định</w:t>
            </w:r>
            <w:r w:rsidRPr="00BE4250">
              <w:rPr>
                <w:rFonts w:ascii="Times New Roman" w:hAnsi="Times New Roman" w:cs="Times New Roman"/>
                <w:iCs/>
                <w:lang w:val="sv-FI"/>
              </w:rPr>
              <w:t xml:space="preserve"> ”</w:t>
            </w:r>
            <w:r w:rsidRPr="000E41EA">
              <w:rPr>
                <w:rFonts w:ascii="Times New Roman" w:hAnsi="Times New Roman" w:cs="Times New Roman"/>
                <w:i/>
                <w:iCs/>
                <w:lang w:val="sv-FI"/>
              </w:rPr>
              <w:t>Ủy ban nhân dân tỉnh q</w:t>
            </w:r>
            <w:r w:rsidRPr="000E41EA">
              <w:rPr>
                <w:rFonts w:ascii="Times New Roman" w:hAnsi="Times New Roman" w:cs="Times New Roman"/>
                <w:i/>
              </w:rPr>
              <w:t>uy định mức chi cụ thể cho một số nhiệm vụ của công tác thi đua, khen thưởng trên địa bàn tỉnh</w:t>
            </w: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FA19CA" w:rsidRPr="00BE4250" w:rsidRDefault="00FA19CA" w:rsidP="00AD4FC0">
            <w:pPr>
              <w:ind w:firstLine="340"/>
              <w:jc w:val="both"/>
              <w:rPr>
                <w:rFonts w:ascii="Times New Roman" w:hAnsi="Times New Roman" w:cs="Times New Roman"/>
              </w:rPr>
            </w:pPr>
            <w:r w:rsidRPr="00BE4250">
              <w:rPr>
                <w:rFonts w:ascii="Times New Roman" w:hAnsi="Times New Roman" w:cs="Times New Roman"/>
              </w:rPr>
              <w:t>Thông tư số 143/2025/TT-BTC quy định mức chi tối đa đối với một số nhiệm vụ của công tác thi đua, khen thưởng và giao Hội đồng nhân dân cấp tỉnh hoặc cơ quan được phân cấp quy định mức chi cụ thể phù hợp với dự toán được giao và khả năng cân đối ngân sách địa phương. Thực tiễn tại tỉnh Lai Châu cho thấy, việc trình Hội đồng nhân dân tỉnh quyết định các mức chi cụ thể trong từng trường hợp phải thực hiện đầy đủ quy trình ban hành nghị quyết hoặc chờ kỳ họp Hội đồng nhân dân, làm kéo dài thời gian xử lý, ảnh hưởng đến tính chủ động, linh hoạt trong công tác quản lý, điều hành và triển khai nhiệm vụ thi đua, khen thưởng. Trong khi đó, nội dung được phân cấp chỉ là việc quyết định mức chi cụ thể trong phạm vi mức tối đa và khung do Bộ Tài chính quy định, không làm phát sinh chính sách mới hoặc tăng chi ngân sách ngoài phạm vi pháp luật cho phép.</w:t>
            </w:r>
          </w:p>
          <w:p w:rsidR="00295362" w:rsidRPr="00BE4250" w:rsidRDefault="00FA19CA" w:rsidP="00AD4FC0">
            <w:pPr>
              <w:ind w:firstLine="340"/>
              <w:jc w:val="both"/>
              <w:rPr>
                <w:rFonts w:ascii="Times New Roman" w:hAnsi="Times New Roman" w:cs="Times New Roman"/>
              </w:rPr>
            </w:pPr>
            <w:r w:rsidRPr="00BE4250">
              <w:rPr>
                <w:rFonts w:ascii="Times New Roman" w:hAnsi="Times New Roman" w:cs="Times New Roman"/>
              </w:rPr>
              <w:t>Việc phân cấp cho Ủy ban nhân dân tỉnh là cần thiết nhằm cụ thể hóa chủ trương đẩy mạnh phân cấp, phân quyền, rút ngắn thời gian ban hành quy định, bảo đảm kịp thời triển khai công tác thi đua, khen thưởng, đồng thời phù hợp với khả năng cân đối ngân sách của địa phương.</w:t>
            </w:r>
          </w:p>
          <w:p w:rsidR="00FA19CA" w:rsidRPr="00BE4250" w:rsidRDefault="00FA19CA" w:rsidP="00AD4FC0">
            <w:pPr>
              <w:ind w:firstLine="340"/>
              <w:jc w:val="both"/>
              <w:rPr>
                <w:rFonts w:ascii="Times New Roman" w:hAnsi="Times New Roman" w:cs="Times New Roman"/>
              </w:rPr>
            </w:pPr>
            <w:r w:rsidRPr="00BE4250">
              <w:rPr>
                <w:rFonts w:ascii="Times New Roman" w:hAnsi="Times New Roman" w:cs="Times New Roman"/>
              </w:rPr>
              <w:t>Sau khi được phân cấp, Ủy ban nhân dân tỉnh có thể chủ động quyết định mức chi cụ thể, nâng cao hiệu quả điều hành ngân sách, giảm thủ tục hành chính và đẩy nhanh việc tổ chức thực hiện các nhiệm vụ về thi đua, khen thưởng. Việc phân cấp vẫn bảo đảm Hội đồng nhân dân tỉnh thực hiện chức năng giám sát theo quy định của pháp luật; không làm phát sinh tổ chức bộ máy, biên chế, kinh phí hoặc thủ tục hành chính mới, bảo đảm tính khả thi, công khai, minh bạch và sử dụng hiệu quả nguồn ngân sách nhà nước.</w:t>
            </w:r>
          </w:p>
        </w:tc>
        <w:tc>
          <w:tcPr>
            <w:tcW w:w="986" w:type="dxa"/>
            <w:vAlign w:val="center"/>
          </w:tcPr>
          <w:p w:rsidR="00295362" w:rsidRPr="00BE4250" w:rsidRDefault="00295362" w:rsidP="00AD4FC0">
            <w:pPr>
              <w:ind w:firstLine="340"/>
              <w:jc w:val="center"/>
              <w:rPr>
                <w:rFonts w:ascii="Times New Roman" w:hAnsi="Times New Roman" w:cs="Times New Roman"/>
              </w:rPr>
            </w:pP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7E523D" w:rsidRPr="00BE4250" w:rsidRDefault="005A48F8" w:rsidP="00AD4FC0">
            <w:pPr>
              <w:jc w:val="both"/>
              <w:rPr>
                <w:rFonts w:ascii="Times New Roman" w:hAnsi="Times New Roman" w:cs="Times New Roman"/>
              </w:rPr>
            </w:pPr>
            <w:r>
              <w:rPr>
                <w:rFonts w:ascii="Times New Roman" w:hAnsi="Times New Roman" w:cs="Times New Roman"/>
              </w:rPr>
              <w:t xml:space="preserve">* </w:t>
            </w:r>
            <w:r w:rsidR="007E523D" w:rsidRPr="00BE4250">
              <w:rPr>
                <w:rFonts w:ascii="Times New Roman" w:hAnsi="Times New Roman" w:cs="Times New Roman"/>
              </w:rPr>
              <w:t>Điểm c, điểm d khoản 1 Điều 4 Thông tư 140/2025/TT-BTC ngày 30/12/2025 của Bộ trưởng Bộ Tài chính quy định:</w:t>
            </w:r>
          </w:p>
          <w:p w:rsidR="007E523D" w:rsidRPr="00BE4250" w:rsidRDefault="007E523D" w:rsidP="00AD4FC0">
            <w:pPr>
              <w:jc w:val="both"/>
              <w:rPr>
                <w:rFonts w:ascii="Times New Roman" w:hAnsi="Times New Roman" w:cs="Times New Roman"/>
                <w:i/>
                <w:iCs/>
              </w:rPr>
            </w:pPr>
            <w:r w:rsidRPr="00BE4250">
              <w:rPr>
                <w:rFonts w:ascii="Times New Roman" w:hAnsi="Times New Roman" w:cs="Times New Roman"/>
                <w:i/>
                <w:iCs/>
              </w:rPr>
              <w:t>" 1. Về tiêu chuẩn mua vé máy bay</w:t>
            </w:r>
          </w:p>
          <w:p w:rsidR="007E523D" w:rsidRPr="00BE4250" w:rsidRDefault="007E523D" w:rsidP="00AD4FC0">
            <w:pPr>
              <w:jc w:val="both"/>
              <w:rPr>
                <w:rFonts w:ascii="Times New Roman" w:hAnsi="Times New Roman" w:cs="Times New Roman"/>
                <w:i/>
                <w:iCs/>
              </w:rPr>
            </w:pPr>
            <w:r w:rsidRPr="00BE4250">
              <w:rPr>
                <w:rFonts w:ascii="Times New Roman" w:hAnsi="Times New Roman" w:cs="Times New Roman"/>
                <w:i/>
                <w:iCs/>
              </w:rPr>
              <w:lastRenderedPageBreak/>
              <w:t>c) Đối với Trưởng đoàn công tác là cấp phó của người đứng đầu các cơ quan Tỉnh ủy, Thành ủy, UBND, HĐND, Đoàn ĐB Quốc hội của các tỉnh thành, phố: HĐND các tỉnh, thành phố quy định cụ thể về việc áp dụng tiêu chuẩn mua vé máy bay đảm bảo phù hợp với đặc thù và khả năng cân đối kinh phí của địa phương</w:t>
            </w:r>
          </w:p>
          <w:p w:rsidR="00295362" w:rsidRPr="00BE4250" w:rsidRDefault="007E523D" w:rsidP="00AD4FC0">
            <w:pPr>
              <w:jc w:val="both"/>
              <w:rPr>
                <w:rFonts w:ascii="Times New Roman" w:hAnsi="Times New Roman" w:cs="Times New Roman"/>
                <w:i/>
                <w:iCs/>
              </w:rPr>
            </w:pPr>
            <w:r w:rsidRPr="00BE4250">
              <w:rPr>
                <w:rFonts w:ascii="Times New Roman" w:hAnsi="Times New Roman" w:cs="Times New Roman"/>
                <w:i/>
                <w:iCs/>
              </w:rPr>
              <w:t>d) Đối với lãnh đạo được hưởng hệ số phụ cấp chức vụ từ 0,8 đến 1,25 nhưng không thuộc đối tượng mua vé hạng thương gia…Trường hợp do yêu cầu công tác đột xuất….,HĐND các tỉnh, thành phố quy định cụ thể về việc áp dụng tiêu chuẩn mua vé máy bay đảm bảo phù hợp với đặc thù và khả năng cân đối kinh phí của địa phương”</w:t>
            </w:r>
          </w:p>
        </w:tc>
        <w:tc>
          <w:tcPr>
            <w:tcW w:w="2410" w:type="dxa"/>
            <w:vAlign w:val="center"/>
          </w:tcPr>
          <w:p w:rsidR="00295362" w:rsidRPr="00BE4250" w:rsidRDefault="00295362" w:rsidP="005A48F8">
            <w:pPr>
              <w:ind w:firstLine="340"/>
              <w:jc w:val="both"/>
              <w:rPr>
                <w:rFonts w:ascii="Times New Roman" w:hAnsi="Times New Roman" w:cs="Times New Roman"/>
              </w:rPr>
            </w:pPr>
            <w:r w:rsidRPr="00BE4250">
              <w:rPr>
                <w:rFonts w:ascii="Times New Roman" w:hAnsi="Times New Roman" w:cs="Times New Roman"/>
              </w:rPr>
              <w:lastRenderedPageBreak/>
              <w:t xml:space="preserve">Điểm </w:t>
            </w:r>
            <w:r w:rsidR="005A48F8">
              <w:rPr>
                <w:rFonts w:ascii="Times New Roman" w:hAnsi="Times New Roman" w:cs="Times New Roman"/>
              </w:rPr>
              <w:t>e</w:t>
            </w:r>
            <w:r w:rsidRPr="00BE4250">
              <w:rPr>
                <w:rFonts w:ascii="Times New Roman" w:hAnsi="Times New Roman" w:cs="Times New Roman"/>
              </w:rPr>
              <w:t xml:space="preserve"> khoản 1 Điều 3 dự thảo Nghị quyết quy định “</w:t>
            </w:r>
            <w:r w:rsidRPr="005A48F8">
              <w:rPr>
                <w:rFonts w:ascii="Times New Roman" w:hAnsi="Times New Roman" w:cs="Times New Roman"/>
                <w:i/>
                <w:iCs/>
                <w:lang w:val="sv-FI"/>
              </w:rPr>
              <w:t xml:space="preserve">Ủy ban nhân dân tỉnh </w:t>
            </w:r>
            <w:r w:rsidRPr="005A48F8">
              <w:rPr>
                <w:rFonts w:ascii="Times New Roman" w:hAnsi="Times New Roman" w:cs="Times New Roman"/>
                <w:bCs/>
                <w:i/>
              </w:rPr>
              <w:t xml:space="preserve">quy định tiêu chuẩn mua vé máy </w:t>
            </w:r>
            <w:r w:rsidRPr="005A48F8">
              <w:rPr>
                <w:rFonts w:ascii="Times New Roman" w:hAnsi="Times New Roman" w:cs="Times New Roman"/>
                <w:bCs/>
                <w:i/>
              </w:rPr>
              <w:lastRenderedPageBreak/>
              <w:t>bay đi công  tác ngắn hạn ở nước ngoài do ngân sách nhà nước bảo đảm kinh phí”</w:t>
            </w: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lastRenderedPageBreak/>
              <w:t>Ủy ban nhân dân tỉnh</w:t>
            </w:r>
          </w:p>
        </w:tc>
        <w:tc>
          <w:tcPr>
            <w:tcW w:w="5895" w:type="dxa"/>
            <w:vAlign w:val="center"/>
          </w:tcPr>
          <w:p w:rsidR="00295362" w:rsidRPr="00BE4250" w:rsidRDefault="007E523D" w:rsidP="00AD4FC0">
            <w:pPr>
              <w:ind w:firstLine="340"/>
              <w:jc w:val="both"/>
              <w:rPr>
                <w:rFonts w:ascii="Times New Roman" w:hAnsi="Times New Roman" w:cs="Times New Roman"/>
              </w:rPr>
            </w:pPr>
            <w:r w:rsidRPr="00BE4250">
              <w:rPr>
                <w:rFonts w:ascii="Times New Roman" w:hAnsi="Times New Roman" w:cs="Times New Roman"/>
              </w:rPr>
              <w:t xml:space="preserve">Thông tư số 140/2025/TT-BTC quy định khung tiêu chuẩn mua vé máy bay đi công tác ngắn hạn ở nước ngoài và giao Hội đồng nhân dân cấp tỉnh quy định cụ thể phù hợp với đặc thù, khả năng cân đối ngân sách của địa phương. Thực tiễn cho thấy, việc ban hành quy định cụ thể phải trình Hội đồng nhân dân tỉnh </w:t>
            </w:r>
            <w:r w:rsidRPr="00BE4250">
              <w:rPr>
                <w:rFonts w:ascii="Times New Roman" w:hAnsi="Times New Roman" w:cs="Times New Roman"/>
              </w:rPr>
              <w:lastRenderedPageBreak/>
              <w:t>xem xét tại kỳ họp hoặc thực hiện đầy đủ quy trình ban hành nghị quyết làm kéo dài thời gian xử lý, ảnh hưởng đến tính chủ động, linh hoạt trong điều hành của Ủy ban nhân dân tỉnh và tiến độ thực hiện nhiệm vụ đối ngoại của các cơ quan, đơn vị. Trong khi đó, nội dung được phân cấp chỉ là việc quy định cụ thể tiêu chuẩn áp dụng trong phạm vi khung, nguyên tắc và giới hạn đã được Bộ Tài chính quy định, không làm phát sinh chính sách mới hoặc tăng chi ngân sách ngoài phạm vi pháp luật cho phép.</w:t>
            </w:r>
          </w:p>
          <w:p w:rsidR="007E523D" w:rsidRPr="00BE4250" w:rsidRDefault="00DC63B6" w:rsidP="00AD4FC0">
            <w:pPr>
              <w:ind w:firstLine="340"/>
              <w:jc w:val="both"/>
              <w:rPr>
                <w:rFonts w:ascii="Times New Roman" w:hAnsi="Times New Roman" w:cs="Times New Roman"/>
              </w:rPr>
            </w:pPr>
            <w:r w:rsidRPr="00BE4250">
              <w:rPr>
                <w:rFonts w:ascii="Times New Roman" w:hAnsi="Times New Roman" w:cs="Times New Roman"/>
              </w:rPr>
              <w:t>Việc phân cấp cho Ủy ban nhân dân tỉnh là cần thiết nhằm cụ thể hóa chủ trương đẩy mạnh phân cấp, phân quyền, rút ngắn thời gian ban hành quy định, đáp ứng yêu cầu xử lý công việc kịp thời, phù hợp với thực tiễn quản lý của địa phương.</w:t>
            </w:r>
          </w:p>
          <w:p w:rsidR="00DC63B6" w:rsidRPr="00BE4250" w:rsidRDefault="00DC63B6" w:rsidP="00AD4FC0">
            <w:pPr>
              <w:ind w:firstLine="340"/>
              <w:jc w:val="both"/>
              <w:rPr>
                <w:rFonts w:ascii="Times New Roman" w:hAnsi="Times New Roman" w:cs="Times New Roman"/>
              </w:rPr>
            </w:pPr>
            <w:r w:rsidRPr="00BE4250">
              <w:rPr>
                <w:rFonts w:ascii="Times New Roman" w:hAnsi="Times New Roman" w:cs="Times New Roman"/>
              </w:rPr>
              <w:t>Sau khi được phân cấp, Ủy ban nhân dân tỉnh có thể chủ động, kịp thời quyết định tiêu chuẩn mua vé máy bay theo thẩm quyền, giảm thủ tục hành chính, nâng cao hiệu quả điều hành ngân sách và tổ chức thực hiện nhiệm vụ đối ngoại. Đồng thời, việc phân cấp vẫn bảo đảm Hội đồng nhân dân tỉnh thực hiện chức năng quyết định những vấn đề quan trọng của địa phương và giám sát việc thực hiện theo quy định của pháp luật; không làm phát sinh tổ chức bộ máy, biên chế, kinh phí hoặc thủ tục hành chính mới, bảo đảm tính khả thi và hiệu quả trong tổ chức thực hiện.</w:t>
            </w:r>
          </w:p>
        </w:tc>
        <w:tc>
          <w:tcPr>
            <w:tcW w:w="986" w:type="dxa"/>
            <w:vAlign w:val="center"/>
          </w:tcPr>
          <w:p w:rsidR="00295362" w:rsidRPr="00BE4250" w:rsidRDefault="00295362" w:rsidP="00AD4FC0">
            <w:pPr>
              <w:ind w:firstLine="340"/>
              <w:jc w:val="center"/>
              <w:rPr>
                <w:rFonts w:ascii="Times New Roman" w:hAnsi="Times New Roman" w:cs="Times New Roman"/>
              </w:rPr>
            </w:pP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B33459" w:rsidRPr="00BE4250" w:rsidRDefault="005A48F8" w:rsidP="00AD4FC0">
            <w:pPr>
              <w:jc w:val="both"/>
              <w:rPr>
                <w:rFonts w:ascii="Times New Roman" w:hAnsi="Times New Roman" w:cs="Times New Roman"/>
              </w:rPr>
            </w:pPr>
            <w:r>
              <w:rPr>
                <w:rFonts w:ascii="Times New Roman" w:hAnsi="Times New Roman" w:cs="Times New Roman"/>
              </w:rPr>
              <w:t xml:space="preserve">* </w:t>
            </w:r>
            <w:r w:rsidR="00B33459" w:rsidRPr="00BE4250">
              <w:rPr>
                <w:rFonts w:ascii="Times New Roman" w:hAnsi="Times New Roman" w:cs="Times New Roman"/>
              </w:rPr>
              <w:t>Điểm h khoản 9 Điều 31 Luật Ngân sách nhà nước năm 2025 quy định nhiệm vụ, quyền hạn của HĐND tỉnh như sau: “</w:t>
            </w:r>
            <w:r w:rsidR="00B33459" w:rsidRPr="00BE4250">
              <w:rPr>
                <w:rFonts w:ascii="Times New Roman" w:hAnsi="Times New Roman" w:cs="Times New Roman"/>
                <w:i/>
                <w:iCs/>
              </w:rPr>
              <w:t>h) 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r w:rsidR="00B33459" w:rsidRPr="00BE4250">
              <w:rPr>
                <w:rFonts w:ascii="Times New Roman" w:hAnsi="Times New Roman" w:cs="Times New Roman"/>
              </w:rPr>
              <w:t>.</w:t>
            </w:r>
          </w:p>
          <w:p w:rsidR="00295362" w:rsidRPr="00BE4250" w:rsidRDefault="00295362" w:rsidP="00AD4FC0">
            <w:pPr>
              <w:ind w:firstLine="340"/>
              <w:jc w:val="both"/>
              <w:rPr>
                <w:rFonts w:ascii="Times New Roman" w:hAnsi="Times New Roman" w:cs="Times New Roman"/>
              </w:rPr>
            </w:pPr>
          </w:p>
        </w:tc>
        <w:tc>
          <w:tcPr>
            <w:tcW w:w="2410" w:type="dxa"/>
            <w:vAlign w:val="center"/>
          </w:tcPr>
          <w:p w:rsidR="00295362" w:rsidRPr="00BE4250" w:rsidRDefault="00295362" w:rsidP="005A48F8">
            <w:pPr>
              <w:ind w:firstLine="340"/>
              <w:jc w:val="both"/>
              <w:rPr>
                <w:rFonts w:ascii="Times New Roman" w:hAnsi="Times New Roman" w:cs="Times New Roman"/>
              </w:rPr>
            </w:pPr>
            <w:r w:rsidRPr="00BE4250">
              <w:rPr>
                <w:rFonts w:ascii="Times New Roman" w:hAnsi="Times New Roman" w:cs="Times New Roman"/>
              </w:rPr>
              <w:t xml:space="preserve">Điểm </w:t>
            </w:r>
            <w:r w:rsidR="005A48F8">
              <w:rPr>
                <w:rFonts w:ascii="Times New Roman" w:hAnsi="Times New Roman" w:cs="Times New Roman"/>
              </w:rPr>
              <w:t>f</w:t>
            </w:r>
            <w:r w:rsidRPr="00BE4250">
              <w:rPr>
                <w:rFonts w:ascii="Times New Roman" w:hAnsi="Times New Roman" w:cs="Times New Roman"/>
              </w:rPr>
              <w:t xml:space="preserve"> khoản 1 Điều 3 dự thảo Nghị quyết quy định “</w:t>
            </w:r>
            <w:r w:rsidRPr="005A48F8">
              <w:rPr>
                <w:rFonts w:ascii="Times New Roman" w:hAnsi="Times New Roman" w:cs="Times New Roman"/>
                <w:i/>
                <w:iCs/>
                <w:lang w:val="sv-FI"/>
              </w:rPr>
              <w:t>Ủy ban nhân dân tỉnh q</w:t>
            </w:r>
            <w:r w:rsidRPr="005A48F8">
              <w:rPr>
                <w:rFonts w:ascii="Times New Roman" w:hAnsi="Times New Roman" w:cs="Times New Roman"/>
                <w:i/>
              </w:rPr>
              <w:t>uyết định cụ thể đối với một số chế độ, tiêu chuẩn, định mức chi ngân sách theo quy định khung của Chính phủ hoặc Bộ Tài chính phù hợp với khả năng cân đối ngân sách địa phương”</w:t>
            </w: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295362" w:rsidRPr="00BE4250" w:rsidRDefault="00B33459" w:rsidP="00AD4FC0">
            <w:pPr>
              <w:ind w:firstLine="340"/>
              <w:jc w:val="both"/>
              <w:rPr>
                <w:rFonts w:ascii="Times New Roman" w:hAnsi="Times New Roman" w:cs="Times New Roman"/>
              </w:rPr>
            </w:pPr>
            <w:r w:rsidRPr="00BE4250">
              <w:rPr>
                <w:rFonts w:ascii="Times New Roman" w:hAnsi="Times New Roman" w:cs="Times New Roman"/>
              </w:rPr>
              <w:t>Việc phân cấp cho Ủy ban nhân dân tỉnh quyết định cụ thể một số chế độ, tiêu chuẩn, định mức chi ngân sách theo quy định khung của Chính phủ hoặc Bộ Tài chính được thực hiện trên cơ sở quy định của Luật Ngân sách nhà nước năm 2025 và chủ trương đẩy mạnh phân cấp, phân quyền nhằm nâng cao hiệu lực, hiệu quả quản lý nhà nước. Thực tiễn thời gian qua cho thấy nhiều nội dung thuộc thẩm quyền quyết định của Hội đồng nhân dân tỉnh như quy định mức học phí, mức chi phục vụ công tác bầu cử và một số chế độ, định mức chi khác đều phải trình Hội đồng nhân dân tỉnh xem xét, quyết định, mặc dù đây là những nội dung đã được Chính phủ hoặc Bộ Tài chính quy định khung và địa phương chỉ quyết định mức cụ thể phù hợp với khả năng cân đối ngân sách.</w:t>
            </w:r>
          </w:p>
          <w:p w:rsidR="00B33459" w:rsidRPr="00BE4250" w:rsidRDefault="00B33459" w:rsidP="00AD4FC0">
            <w:pPr>
              <w:ind w:firstLine="340"/>
              <w:jc w:val="both"/>
              <w:rPr>
                <w:rFonts w:ascii="Times New Roman" w:hAnsi="Times New Roman" w:cs="Times New Roman"/>
              </w:rPr>
            </w:pPr>
            <w:r w:rsidRPr="00BE4250">
              <w:rPr>
                <w:rFonts w:ascii="Times New Roman" w:hAnsi="Times New Roman" w:cs="Times New Roman"/>
              </w:rPr>
              <w:t xml:space="preserve">Việc tiếp tục thực hiện theo quy trình này làm kéo dài thời gian ban hành chính sách, ảnh hưởng đến tính kịp thời trong </w:t>
            </w:r>
            <w:r w:rsidRPr="00BE4250">
              <w:rPr>
                <w:rFonts w:ascii="Times New Roman" w:hAnsi="Times New Roman" w:cs="Times New Roman"/>
              </w:rPr>
              <w:lastRenderedPageBreak/>
              <w:t>công tác điều hành ngân sách và triển khai các nhiệm vụ phát sinh. Do đó, việc phân cấp cho Ủy ban nhân dân tỉnh là cần thiết nhằm tăng tính chủ động, linh hoạt trong quyết định các chế độ, tiêu chuẩn, định mức chi thuộc khung quy định của Trung ương, phù hợp với điều kiện thực tế và khả năng cân đối ngân sách của địa phương, đồng thời đáp ứng yêu cầu cải cách hành chính và nâng cao hiệu quả quản lý tài chính, ngân sách.</w:t>
            </w:r>
          </w:p>
          <w:p w:rsidR="00B33459" w:rsidRPr="00BE4250" w:rsidRDefault="00B33459" w:rsidP="00AD4FC0">
            <w:pPr>
              <w:ind w:firstLine="340"/>
              <w:jc w:val="both"/>
              <w:rPr>
                <w:rFonts w:ascii="Times New Roman" w:hAnsi="Times New Roman" w:cs="Times New Roman"/>
              </w:rPr>
            </w:pPr>
            <w:r w:rsidRPr="00BE4250">
              <w:rPr>
                <w:rFonts w:ascii="Times New Roman" w:hAnsi="Times New Roman" w:cs="Times New Roman"/>
              </w:rPr>
              <w:t>Việc phân cấp sẽ rút ngắn quy trình xây dựng, ban hành các quy định về chế độ, tiêu chuẩn, định mức chi ngân sách, không phải chờ Hội đồng nhân dân tỉnh xem xét tại kỳ họp đối với từng nội dung cụ thể, qua đó bảo đảm việc triển khai chính sách được kịp thời, thống nhất và phù hợp với yêu cầu quản lý. Đồng thời, phân cấp giúp nâng cao tính chủ động, trách nhiệm của Ủy ban nhân dân tỉnh trong điều hành ngân sách, sử dụng hiệu quả nguồn lực tài chính của địa phương, nhưng vẫn bảo đảm sự kiểm tra, giám sát của Hội đồng nhân dân tỉnh theo quy định của pháp luật; không làm phát sinh tổ chức bộ máy, biên chế, kinh phí hoặc thủ tục hành chính mới, bảo đảm tính khả thi và hiệu quả trong tổ chức thực hiện.</w:t>
            </w:r>
          </w:p>
        </w:tc>
        <w:tc>
          <w:tcPr>
            <w:tcW w:w="986" w:type="dxa"/>
            <w:vAlign w:val="center"/>
          </w:tcPr>
          <w:p w:rsidR="00295362" w:rsidRPr="00BE4250" w:rsidRDefault="00295362" w:rsidP="00AD4FC0">
            <w:pPr>
              <w:ind w:firstLine="340"/>
              <w:jc w:val="center"/>
              <w:rPr>
                <w:rFonts w:ascii="Times New Roman" w:hAnsi="Times New Roman" w:cs="Times New Roman"/>
              </w:rPr>
            </w:pP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D75D04" w:rsidRPr="00BE4250" w:rsidRDefault="005A48F8" w:rsidP="00AD4FC0">
            <w:pPr>
              <w:jc w:val="both"/>
              <w:rPr>
                <w:rFonts w:ascii="Times New Roman" w:hAnsi="Times New Roman" w:cs="Times New Roman"/>
              </w:rPr>
            </w:pPr>
            <w:r>
              <w:rPr>
                <w:rFonts w:ascii="Times New Roman" w:hAnsi="Times New Roman" w:cs="Times New Roman"/>
              </w:rPr>
              <w:t xml:space="preserve">* </w:t>
            </w:r>
            <w:r w:rsidR="00D75D04" w:rsidRPr="00BE4250">
              <w:rPr>
                <w:rFonts w:ascii="Times New Roman" w:hAnsi="Times New Roman" w:cs="Times New Roman"/>
              </w:rPr>
              <w:t xml:space="preserve">Khoản 2 Điều 11 Luật hỗ trợ doanh nghiệp nhỏ và vừa số 12/2017/QH14 ngày 12/6/2017 quy định: </w:t>
            </w:r>
            <w:r w:rsidR="00D75D04" w:rsidRPr="00BE4250">
              <w:rPr>
                <w:rFonts w:ascii="Times New Roman" w:hAnsi="Times New Roman" w:cs="Times New Roman"/>
                <w:i/>
              </w:rPr>
              <w:t>“2. Căn cứ vào điều kiện ngân sách địa phương, Ủy ban nhân dân cấp tỉnh trình Hội đồng nhân dân cùng cấp quyết định hỗ trợ giá thuê mặt bằng cho doanh nghiệp nhỏ và vừa tại các khu công nghiệp, khu công nghệ cao, cụm công nghiệp trên địa bàn. Thời gian hỗ trợ tối đa là 05 năm kể từ ngày ký hợp đồng thuê mặt bằng”</w:t>
            </w:r>
            <w:r w:rsidR="00D75D04" w:rsidRPr="00BE4250">
              <w:rPr>
                <w:rFonts w:ascii="Times New Roman" w:hAnsi="Times New Roman" w:cs="Times New Roman"/>
              </w:rPr>
              <w:t>.</w:t>
            </w:r>
          </w:p>
          <w:p w:rsidR="00295362" w:rsidRPr="00BE4250" w:rsidRDefault="00295362" w:rsidP="00AD4FC0">
            <w:pPr>
              <w:ind w:firstLine="340"/>
              <w:jc w:val="both"/>
              <w:rPr>
                <w:rFonts w:ascii="Times New Roman" w:hAnsi="Times New Roman" w:cs="Times New Roman"/>
              </w:rPr>
            </w:pPr>
          </w:p>
        </w:tc>
        <w:tc>
          <w:tcPr>
            <w:tcW w:w="2410" w:type="dxa"/>
            <w:vAlign w:val="center"/>
          </w:tcPr>
          <w:p w:rsidR="00295362" w:rsidRPr="00BE4250" w:rsidRDefault="00295362" w:rsidP="005A48F8">
            <w:pPr>
              <w:ind w:firstLine="340"/>
              <w:jc w:val="both"/>
              <w:rPr>
                <w:rFonts w:ascii="Times New Roman" w:hAnsi="Times New Roman" w:cs="Times New Roman"/>
              </w:rPr>
            </w:pPr>
            <w:r w:rsidRPr="00BE4250">
              <w:rPr>
                <w:rFonts w:ascii="Times New Roman" w:hAnsi="Times New Roman" w:cs="Times New Roman"/>
              </w:rPr>
              <w:t xml:space="preserve">Điểm </w:t>
            </w:r>
            <w:r w:rsidR="005A48F8">
              <w:rPr>
                <w:rFonts w:ascii="Times New Roman" w:hAnsi="Times New Roman" w:cs="Times New Roman"/>
              </w:rPr>
              <w:t>g</w:t>
            </w:r>
            <w:r w:rsidRPr="00BE4250">
              <w:rPr>
                <w:rFonts w:ascii="Times New Roman" w:hAnsi="Times New Roman" w:cs="Times New Roman"/>
              </w:rPr>
              <w:t xml:space="preserve"> khoản 1 Điều 3 dự thảo Nghị quyết quy định “</w:t>
            </w:r>
            <w:r w:rsidRPr="005A48F8">
              <w:rPr>
                <w:rFonts w:ascii="Times New Roman" w:hAnsi="Times New Roman" w:cs="Times New Roman"/>
                <w:i/>
                <w:iCs/>
                <w:lang w:val="sv-FI"/>
              </w:rPr>
              <w:t xml:space="preserve">Ủy ban nhân dân tỉnh </w:t>
            </w:r>
            <w:r w:rsidRPr="005A48F8">
              <w:rPr>
                <w:rFonts w:ascii="Times New Roman" w:hAnsi="Times New Roman" w:cs="Times New Roman"/>
                <w:bCs/>
                <w:i/>
              </w:rPr>
              <w:t>quyết định hỗ trợ giá thuê mặt bằng cho doanh nghiệp nhỏ và vừa tại các khu công nghiệp, khu công nghệ cao, cụm công nghiệp trên địa bàn”</w:t>
            </w: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D75D04" w:rsidRPr="00BE4250" w:rsidRDefault="00D75D04" w:rsidP="00AD4FC0">
            <w:pPr>
              <w:ind w:firstLine="340"/>
              <w:jc w:val="both"/>
              <w:rPr>
                <w:rFonts w:ascii="Times New Roman" w:hAnsi="Times New Roman" w:cs="Times New Roman"/>
              </w:rPr>
            </w:pPr>
            <w:r w:rsidRPr="00BE4250">
              <w:rPr>
                <w:rFonts w:ascii="Times New Roman" w:hAnsi="Times New Roman" w:cs="Times New Roman"/>
              </w:rPr>
              <w:t>Việc phân cấp cho Ủy ban nhân dân tỉnh quyết định hỗ trợ giá thuê mặt bằng cho doanh nghiệp nhỏ và vừa tại các khu công nghiệp, khu công nghệ cao và cụm công nghiệp được thực hiện nhằm cụ thể hóa quy định của Luật Hỗ trợ doanh nghiệp nhỏ và vừa năm 2017 và chủ trương đẩy mạnh phân cấp, phân quyền theo Luật Tổ chức chính quyền địa phương năm 2025. Thực tiễn cho thấy nhu cầu hỗ trợ doanh nghiệp nhỏ và vừa trên địa bàn ngày càng lớn, trong khi việc ban hành chính sách hỗ trợ phải đáp ứng kịp thời yêu cầu thu hút đầu tư, phát triển sản xuất, kinh doanh và nâng cao năng lực cạnh tranh của địa phương. Nếu vẫn thực hiện theo quy trình Hội đồng nhân dân tỉnh quyết định đối với từng chính sách hỗ trợ sẽ kéo dài thời gian xem xét, ban hành, làm giảm tính chủ động và khả năng phản ứng chính sách trước những biến động của tình hình kinh tế - xã hội và nhu cầu thực tế của doanh nghiệp.</w:t>
            </w:r>
          </w:p>
          <w:p w:rsidR="00D75D04" w:rsidRPr="00BE4250" w:rsidRDefault="00D75D04" w:rsidP="00AD4FC0">
            <w:pPr>
              <w:ind w:firstLine="340"/>
              <w:jc w:val="both"/>
              <w:rPr>
                <w:rFonts w:ascii="Times New Roman" w:hAnsi="Times New Roman" w:cs="Times New Roman"/>
              </w:rPr>
            </w:pPr>
            <w:r w:rsidRPr="00BE4250">
              <w:rPr>
                <w:rFonts w:ascii="Times New Roman" w:hAnsi="Times New Roman" w:cs="Times New Roman"/>
              </w:rPr>
              <w:t xml:space="preserve">Việc phân cấp là cần thiết nhằm tăng quyền chủ động cho Ủy ban nhân dân tỉnh trong việc quyết định và tổ chức thực hiện chính sách hỗ trợ phù hợp với khả năng cân đối ngân sách và điều kiện phát triển của địa phương, đồng thời vẫn bảo đảm </w:t>
            </w:r>
            <w:r w:rsidRPr="00BE4250">
              <w:rPr>
                <w:rFonts w:ascii="Times New Roman" w:hAnsi="Times New Roman" w:cs="Times New Roman"/>
              </w:rPr>
              <w:lastRenderedPageBreak/>
              <w:t>tuân thủ các nguyên tắc, định hướng do Hội đồng nhân dân tỉnh quyết định và chịu sự giám sát của Hội đồng nhân dân tỉnh.</w:t>
            </w:r>
          </w:p>
          <w:p w:rsidR="00295362" w:rsidRPr="00BE4250" w:rsidRDefault="00D75D04" w:rsidP="00AD4FC0">
            <w:pPr>
              <w:ind w:firstLine="340"/>
              <w:jc w:val="both"/>
              <w:rPr>
                <w:rFonts w:ascii="Times New Roman" w:hAnsi="Times New Roman" w:cs="Times New Roman"/>
              </w:rPr>
            </w:pPr>
            <w:r w:rsidRPr="00BE4250">
              <w:rPr>
                <w:rFonts w:ascii="Times New Roman" w:hAnsi="Times New Roman" w:cs="Times New Roman"/>
              </w:rPr>
              <w:t>Thông qua cơ chế phân cấp, thời gian xây dựng, ban hành và triển khai chính sách được rút ngắn, giảm thủ tục hành chính, tạo điều kiện để doanh nghiệp nhỏ và vừa sớm tiếp cận chính sách hỗ trợ, giảm chi phí đầu tư ban đầu và ổn định hoạt động sản xuất, kinh doanh. Qua đó góp phần cải thiện môi trường đầu tư, nâng cao năng lực cạnh tranh của tỉnh, thu hút doanh nghiệp đầu tư vào các khu công nghiệp, khu công nghệ cao và cụm công nghiệp, thúc đẩy phát triển kinh tế - xã hội, tạo việc làm, tăng thu ngân sách và sử dụng hiệu quả nguồn lực hỗ trợ của Nhà nước. Việc phân cấp không làm phát sinh tổ chức bộ máy, biên chế, kinh phí hoặc thủ tục hành chính mới, bảo đảm tính khả thi, công khai, minh bạch và hiệu quả trong tổ chức thực hiện.</w:t>
            </w:r>
          </w:p>
        </w:tc>
        <w:tc>
          <w:tcPr>
            <w:tcW w:w="986" w:type="dxa"/>
            <w:vAlign w:val="center"/>
          </w:tcPr>
          <w:p w:rsidR="00295362" w:rsidRPr="00BE4250" w:rsidRDefault="00295362" w:rsidP="00AD4FC0">
            <w:pPr>
              <w:ind w:firstLine="340"/>
              <w:jc w:val="center"/>
              <w:rPr>
                <w:rFonts w:ascii="Times New Roman" w:hAnsi="Times New Roman" w:cs="Times New Roman"/>
              </w:rPr>
            </w:pP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295362" w:rsidRPr="00BE4250" w:rsidRDefault="00034095" w:rsidP="00AD4FC0">
            <w:pPr>
              <w:ind w:firstLine="284"/>
              <w:jc w:val="both"/>
              <w:rPr>
                <w:rFonts w:ascii="Times New Roman" w:eastAsia="Arial" w:hAnsi="Times New Roman" w:cs="Times New Roman"/>
                <w:highlight w:val="white"/>
                <w:lang w:val="vi-VN"/>
              </w:rPr>
            </w:pPr>
            <w:r>
              <w:rPr>
                <w:rFonts w:ascii="Times New Roman" w:eastAsia="Arial" w:hAnsi="Times New Roman" w:cs="Times New Roman"/>
                <w:highlight w:val="white"/>
              </w:rPr>
              <w:t xml:space="preserve">* </w:t>
            </w:r>
            <w:r w:rsidR="00295362" w:rsidRPr="00BE4250">
              <w:rPr>
                <w:rFonts w:ascii="Times New Roman" w:eastAsia="Arial" w:hAnsi="Times New Roman" w:cs="Times New Roman"/>
                <w:highlight w:val="white"/>
              </w:rPr>
              <w:t>K</w:t>
            </w:r>
            <w:r w:rsidR="00295362" w:rsidRPr="00BE4250">
              <w:rPr>
                <w:rFonts w:ascii="Times New Roman" w:eastAsia="Arial" w:hAnsi="Times New Roman" w:cs="Times New Roman"/>
                <w:highlight w:val="white"/>
                <w:lang w:val="vi-VN"/>
              </w:rPr>
              <w:t>hoản 1 Điều 20 Luật Lâm nghiệp số 16/2017/QH14</w:t>
            </w:r>
            <w:r w:rsidR="00295362" w:rsidRPr="00BE4250">
              <w:rPr>
                <w:rFonts w:ascii="Times New Roman" w:eastAsia="Arial" w:hAnsi="Times New Roman" w:cs="Times New Roman"/>
                <w:highlight w:val="white"/>
              </w:rPr>
              <w:t>,</w:t>
            </w:r>
            <w:r w:rsidR="00295362" w:rsidRPr="00BE4250">
              <w:rPr>
                <w:rFonts w:ascii="Times New Roman" w:eastAsia="Arial" w:hAnsi="Times New Roman" w:cs="Times New Roman"/>
                <w:highlight w:val="white"/>
                <w:lang w:val="vi-VN"/>
              </w:rPr>
              <w:t xml:space="preserve"> được sửa đổi bổ sung bởi khoản 5 Điều 8 Luật Sửa đổi, bổ sung một số điều của 15 luật trong lĩnh vực nông nghiệp và Môi trường số 146/2025/QH15 quy định:</w:t>
            </w:r>
          </w:p>
          <w:p w:rsidR="00295362" w:rsidRPr="00BE4250" w:rsidRDefault="00295362" w:rsidP="00AD4FC0">
            <w:pPr>
              <w:ind w:firstLine="284"/>
              <w:jc w:val="both"/>
              <w:rPr>
                <w:rFonts w:ascii="Times New Roman" w:eastAsia="Arial" w:hAnsi="Times New Roman" w:cs="Times New Roman"/>
                <w:i/>
                <w:highlight w:val="white"/>
                <w:lang w:val="vi-VN"/>
              </w:rPr>
            </w:pPr>
            <w:r w:rsidRPr="00BE4250">
              <w:rPr>
                <w:rFonts w:ascii="Times New Roman" w:eastAsia="Arial" w:hAnsi="Times New Roman" w:cs="Times New Roman"/>
                <w:i/>
                <w:highlight w:val="white"/>
                <w:lang w:val="vi-VN"/>
              </w:rPr>
              <w:t>“1. Thẩm quyền quyết định chủ trương chuyển mục đích sử dụng rừng sang mục đích khác:</w:t>
            </w:r>
          </w:p>
          <w:p w:rsidR="00295362" w:rsidRPr="00BE4250" w:rsidRDefault="00295362" w:rsidP="00AD4FC0">
            <w:pPr>
              <w:ind w:firstLine="284"/>
              <w:jc w:val="both"/>
              <w:rPr>
                <w:rFonts w:ascii="Times New Roman" w:eastAsia="Arial" w:hAnsi="Times New Roman" w:cs="Times New Roman"/>
                <w:i/>
                <w:highlight w:val="white"/>
                <w:lang w:val="vi-VN"/>
              </w:rPr>
            </w:pPr>
            <w:r w:rsidRPr="00BE4250">
              <w:rPr>
                <w:rFonts w:ascii="Times New Roman" w:eastAsia="Arial" w:hAnsi="Times New Roman" w:cs="Times New Roman"/>
                <w:i/>
                <w:highlight w:val="white"/>
                <w:lang w:val="vi-VN"/>
              </w:rPr>
              <w:t>a) Hội đồng nhân dân cấp tỉnh quyết định chủ trương, điều chỉnh chủ trương chuyển mục đích sử dụng rừng sang mục đích khác, trừ trường hợp quy định tại điểm b khoản này;</w:t>
            </w:r>
          </w:p>
          <w:p w:rsidR="00295362" w:rsidRPr="00BE4250" w:rsidRDefault="00295362" w:rsidP="00AD4FC0">
            <w:pPr>
              <w:ind w:firstLine="284"/>
              <w:jc w:val="both"/>
              <w:rPr>
                <w:rFonts w:ascii="Times New Roman" w:eastAsia="Arial" w:hAnsi="Times New Roman" w:cs="Times New Roman"/>
                <w:i/>
                <w:spacing w:val="-6"/>
                <w:highlight w:val="white"/>
              </w:rPr>
            </w:pPr>
            <w:r w:rsidRPr="00BE4250">
              <w:rPr>
                <w:rFonts w:ascii="Times New Roman" w:eastAsia="Arial" w:hAnsi="Times New Roman" w:cs="Times New Roman"/>
                <w:i/>
                <w:spacing w:val="-6"/>
                <w:highlight w:val="white"/>
                <w:lang w:val="vi-VN"/>
              </w:rPr>
              <w:t xml:space="preserve">b) Trường hợp dự án thuộc thẩm quyền của Quốc hội, Thủ tướng Chính phủ, Hội đồng nhân dân cấp tỉnh chấp thuận, quyết định chủ trương đầu tư </w:t>
            </w:r>
            <w:r w:rsidRPr="00BE4250">
              <w:rPr>
                <w:rFonts w:ascii="Times New Roman" w:eastAsia="Arial" w:hAnsi="Times New Roman" w:cs="Times New Roman"/>
                <w:i/>
                <w:spacing w:val="-6"/>
                <w:highlight w:val="white"/>
              </w:rPr>
              <w:t xml:space="preserve">… </w:t>
            </w:r>
            <w:r w:rsidRPr="00BE4250">
              <w:rPr>
                <w:rFonts w:ascii="Times New Roman" w:eastAsia="Arial" w:hAnsi="Times New Roman" w:cs="Times New Roman"/>
                <w:i/>
                <w:spacing w:val="-6"/>
                <w:highlight w:val="white"/>
                <w:lang w:val="vi-VN"/>
              </w:rPr>
              <w:t xml:space="preserve">thì văn bản chấp thuận hoặc quyết định chủ trương đầu tư dự án đồng thời là chủ trương chuyển mục đích sử </w:t>
            </w:r>
            <w:r w:rsidRPr="00BE4250">
              <w:rPr>
                <w:rFonts w:ascii="Times New Roman" w:eastAsia="Arial" w:hAnsi="Times New Roman" w:cs="Times New Roman"/>
                <w:i/>
                <w:spacing w:val="-6"/>
                <w:highlight w:val="white"/>
                <w:lang w:val="vi-VN"/>
              </w:rPr>
              <w:lastRenderedPageBreak/>
              <w:t>dụng rừng sang mục đích khác.”</w:t>
            </w:r>
          </w:p>
        </w:tc>
        <w:tc>
          <w:tcPr>
            <w:tcW w:w="2410" w:type="dxa"/>
            <w:vAlign w:val="center"/>
          </w:tcPr>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lastRenderedPageBreak/>
              <w:t>Điểm a khoản 2 Điều 3 dự thảo Nghị quyết quy định:</w:t>
            </w:r>
          </w:p>
          <w:p w:rsidR="00295362" w:rsidRPr="00BE4250" w:rsidRDefault="00295362" w:rsidP="00AD4FC0">
            <w:pPr>
              <w:ind w:firstLine="284"/>
              <w:jc w:val="both"/>
              <w:rPr>
                <w:rFonts w:ascii="Times New Roman" w:eastAsia="Arial" w:hAnsi="Times New Roman" w:cs="Times New Roman"/>
                <w:highlight w:val="white"/>
              </w:rPr>
            </w:pPr>
            <w:r w:rsidRPr="00BE4250">
              <w:rPr>
                <w:rFonts w:ascii="Times New Roman" w:eastAsia="Arial" w:hAnsi="Times New Roman" w:cs="Times New Roman"/>
                <w:highlight w:val="white"/>
              </w:rPr>
              <w:t>“</w:t>
            </w:r>
            <w:r w:rsidRPr="00BE4250">
              <w:rPr>
                <w:rFonts w:ascii="Times New Roman" w:eastAsia="Arial" w:hAnsi="Times New Roman" w:cs="Times New Roman"/>
                <w:i/>
                <w:highlight w:val="white"/>
              </w:rPr>
              <w:t>Quyết định chủ trương chuyển mục đích sử dụng rừng sang mục đích khác</w:t>
            </w:r>
            <w:r w:rsidR="00417D4D">
              <w:rPr>
                <w:rFonts w:ascii="Times New Roman" w:eastAsia="Arial" w:hAnsi="Times New Roman" w:cs="Times New Roman"/>
                <w:i/>
                <w:highlight w:val="white"/>
              </w:rPr>
              <w:t xml:space="preserve">, </w:t>
            </w:r>
            <w:r w:rsidR="00417D4D" w:rsidRPr="00BE4250">
              <w:rPr>
                <w:rFonts w:ascii="Times New Roman" w:eastAsia="Arial" w:hAnsi="Times New Roman" w:cs="Times New Roman"/>
                <w:i/>
                <w:highlight w:val="white"/>
                <w:lang w:val="vi-VN"/>
              </w:rPr>
              <w:t>trừ trường hợp</w:t>
            </w:r>
            <w:r w:rsidR="00417D4D">
              <w:rPr>
                <w:rFonts w:ascii="Times New Roman" w:eastAsia="Arial" w:hAnsi="Times New Roman" w:cs="Times New Roman"/>
                <w:i/>
                <w:highlight w:val="white"/>
              </w:rPr>
              <w:t xml:space="preserve"> </w:t>
            </w:r>
            <w:r w:rsidR="00417D4D" w:rsidRPr="00BE4250">
              <w:rPr>
                <w:rFonts w:ascii="Times New Roman" w:eastAsia="Arial" w:hAnsi="Times New Roman" w:cs="Times New Roman"/>
                <w:i/>
                <w:spacing w:val="-6"/>
                <w:highlight w:val="white"/>
                <w:lang w:val="vi-VN"/>
              </w:rPr>
              <w:t>dự án thuộc thẩm quyền của Quốc hội, Thủ tướng Chính phủ, Hội đồng nhân dân cấp tỉnh chấp thuận, quyết định chủ trương đầu tư</w:t>
            </w:r>
            <w:r w:rsidRPr="00BE4250">
              <w:rPr>
                <w:rFonts w:ascii="Times New Roman" w:eastAsia="Arial" w:hAnsi="Times New Roman" w:cs="Times New Roman"/>
                <w:i/>
                <w:highlight w:val="white"/>
              </w:rPr>
              <w:t>”</w:t>
            </w:r>
          </w:p>
          <w:p w:rsidR="00295362" w:rsidRPr="00BE4250" w:rsidRDefault="00295362" w:rsidP="00AD4FC0">
            <w:pPr>
              <w:ind w:firstLine="284"/>
              <w:jc w:val="both"/>
              <w:rPr>
                <w:rFonts w:ascii="Times New Roman" w:hAnsi="Times New Roman" w:cs="Times New Roman"/>
              </w:rPr>
            </w:pP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295362" w:rsidRPr="00BE4250" w:rsidRDefault="00295362" w:rsidP="00AD4FC0">
            <w:pPr>
              <w:ind w:firstLine="284"/>
              <w:jc w:val="both"/>
              <w:rPr>
                <w:rFonts w:ascii="Times New Roman" w:eastAsia="Arial" w:hAnsi="Times New Roman" w:cs="Times New Roman"/>
                <w:highlight w:val="white"/>
                <w:lang w:val="vi-VN"/>
              </w:rPr>
            </w:pPr>
            <w:r w:rsidRPr="00BE4250">
              <w:rPr>
                <w:rFonts w:ascii="Times New Roman" w:eastAsia="Arial" w:hAnsi="Times New Roman" w:cs="Times New Roman"/>
                <w:highlight w:val="white"/>
                <w:lang w:val="vi-VN"/>
              </w:rPr>
              <w:t>Trong thời gian qua, trên địa bàn tỉnh phát sinh nhiều nhu cầu chuyển mục đích sử dụng rừng sang mục đích khác để thực hiện các công trình, dự án phục vụ phát triển kinh tế - xã hội, quốc phòng, an ninh, phòng, chống thiên tai, khắc phục sự cố và các nhiệm vụ cấp thiết khác theo quy định của pháp luật. Theo quy định hiện hành, thẩm quyền quyết định chủ trương chuyển mục đích sử dụng rừng sang mục đích khác thuộc Hội đồng nhân dân cấp tỉnh; trong khi đó, Hội đồng nhân dân tỉnh làm việc theo chế độ kỳ họp nên đối với các trường hợp phát sinh giữa hai kỳ họp hoặc các dự án cần triển khai khẩn trương, việc phải chờ trình Hội đồng nhân dân tỉnh xem xét, quyết định có thể làm kéo dài thời gian giải quyết thủ tục hành chính, ảnh hưởng đến tiến độ thực hiện dự án.</w:t>
            </w:r>
          </w:p>
          <w:p w:rsidR="00295362" w:rsidRPr="00BE4250" w:rsidRDefault="00295362" w:rsidP="00AD4FC0">
            <w:pPr>
              <w:ind w:firstLine="284"/>
              <w:jc w:val="both"/>
              <w:rPr>
                <w:rFonts w:ascii="Times New Roman" w:eastAsia="Times New Roman" w:hAnsi="Times New Roman" w:cs="Times New Roman"/>
              </w:rPr>
            </w:pPr>
            <w:r w:rsidRPr="00BE4250">
              <w:rPr>
                <w:rFonts w:ascii="Times New Roman" w:eastAsia="Times New Roman" w:hAnsi="Times New Roman" w:cs="Times New Roman"/>
              </w:rPr>
              <w:t>Theo Điều 20 Luật Lâm nghiệp, được SĐBS bởi Luật số 146/2025/QH15 thì thẩm quyền quyết định chủ trương chuyển mục đích sử dụng rừng sang mục đích khác thuộc</w:t>
            </w:r>
            <w:r w:rsidRPr="00BE4250">
              <w:rPr>
                <w:rFonts w:ascii="Times New Roman" w:eastAsia="Times New Roman" w:hAnsi="Times New Roman" w:cs="Times New Roman"/>
                <w:u w:val="single"/>
              </w:rPr>
              <w:t xml:space="preserve"> thẩm quyền của Hội đồng nhân dân cấp tỉnh</w:t>
            </w:r>
            <w:r w:rsidRPr="00BE4250">
              <w:rPr>
                <w:rFonts w:ascii="Times New Roman" w:eastAsia="Times New Roman" w:hAnsi="Times New Roman" w:cs="Times New Roman"/>
              </w:rPr>
              <w:t>.</w:t>
            </w:r>
          </w:p>
          <w:p w:rsidR="00295362" w:rsidRPr="00BE4250" w:rsidRDefault="00295362" w:rsidP="00AD4FC0">
            <w:pPr>
              <w:ind w:firstLine="284"/>
              <w:jc w:val="both"/>
              <w:rPr>
                <w:rFonts w:ascii="Times New Roman" w:eastAsia="Times New Roman" w:hAnsi="Times New Roman" w:cs="Times New Roman"/>
              </w:rPr>
            </w:pPr>
            <w:r w:rsidRPr="00BE4250">
              <w:rPr>
                <w:rFonts w:ascii="Times New Roman" w:eastAsia="Times New Roman" w:hAnsi="Times New Roman" w:cs="Times New Roman"/>
              </w:rPr>
              <w:t xml:space="preserve">Theo khoản 3 Điều 4 Nghị quyết số 254/2025/QH15 ngày 11/12/2025 của Quốc hội về một số cơ chế, chính sách tháo gỡ khó khăn, vướng mắc trong tổ chức thi hành Luật Đất đai quy định "Người có thẩm quyền quyết định giao đất, cho thuê đất, cho phép chuyển mục đích sử dụng đất trồng lúa, đất rừng đặc dụng, đất rừng phòng hộ, đất rừng sản xuất sang mục đích khác </w:t>
            </w:r>
            <w:r w:rsidRPr="00BE4250">
              <w:rPr>
                <w:rFonts w:ascii="Times New Roman" w:eastAsia="Times New Roman" w:hAnsi="Times New Roman" w:cs="Times New Roman"/>
              </w:rPr>
              <w:lastRenderedPageBreak/>
              <w:t>mà k</w:t>
            </w:r>
            <w:r w:rsidRPr="00BE4250">
              <w:rPr>
                <w:rFonts w:ascii="Times New Roman" w:eastAsia="Times New Roman" w:hAnsi="Times New Roman" w:cs="Times New Roman"/>
                <w:u w:val="single"/>
              </w:rPr>
              <w:t>hông phải trình Hội đồng nhân dân cấp tỉnh chấp thuậ</w:t>
            </w:r>
            <w:r w:rsidRPr="00BE4250">
              <w:rPr>
                <w:rFonts w:ascii="Times New Roman" w:eastAsia="Times New Roman" w:hAnsi="Times New Roman" w:cs="Times New Roman"/>
              </w:rPr>
              <w:t>n."</w:t>
            </w:r>
          </w:p>
          <w:p w:rsidR="00295362" w:rsidRPr="00BE4250" w:rsidRDefault="00295362" w:rsidP="00AD4FC0">
            <w:pPr>
              <w:ind w:firstLine="284"/>
              <w:jc w:val="both"/>
              <w:rPr>
                <w:rFonts w:ascii="Times New Roman" w:eastAsia="Arial" w:hAnsi="Times New Roman" w:cs="Times New Roman"/>
                <w:highlight w:val="white"/>
                <w:lang w:val="vi-VN"/>
              </w:rPr>
            </w:pPr>
            <w:r w:rsidRPr="00BE4250">
              <w:rPr>
                <w:rFonts w:ascii="Times New Roman" w:eastAsia="Arial" w:hAnsi="Times New Roman" w:cs="Times New Roman"/>
                <w:lang w:val="vi-VN"/>
              </w:rPr>
              <w:t xml:space="preserve">Trong thực tiễn, đối với nhiều dự án đầu tư, việc chuyển mục đích sử dụng đất và chuyển mục đích sử dụng rừng phải được thực hiện đồng thời. Tuy nhiên, hiện nay thẩm quyền giải quyết hai nội dung này thuộc hai chủ thể khác nhau, </w:t>
            </w:r>
            <w:r w:rsidRPr="00BE4250">
              <w:rPr>
                <w:rFonts w:ascii="Times New Roman" w:eastAsia="Arial" w:hAnsi="Times New Roman" w:cs="Times New Roman"/>
              </w:rPr>
              <w:t>đã</w:t>
            </w:r>
            <w:r w:rsidRPr="00BE4250">
              <w:rPr>
                <w:rFonts w:ascii="Times New Roman" w:eastAsia="Arial" w:hAnsi="Times New Roman" w:cs="Times New Roman"/>
                <w:lang w:val="vi-VN"/>
              </w:rPr>
              <w:t xml:space="preserve"> </w:t>
            </w:r>
            <w:r w:rsidRPr="00BE4250">
              <w:rPr>
                <w:rFonts w:ascii="Times New Roman" w:eastAsia="Arial" w:hAnsi="Times New Roman" w:cs="Times New Roman"/>
              </w:rPr>
              <w:t xml:space="preserve">ảnh hưởng đến </w:t>
            </w:r>
            <w:r w:rsidRPr="00BE4250">
              <w:rPr>
                <w:rFonts w:ascii="Times New Roman" w:eastAsia="Arial" w:hAnsi="Times New Roman" w:cs="Times New Roman"/>
                <w:lang w:val="vi-VN"/>
              </w:rPr>
              <w:t xml:space="preserve">tiến độ </w:t>
            </w:r>
            <w:r w:rsidRPr="00BE4250">
              <w:rPr>
                <w:rFonts w:ascii="Times New Roman" w:eastAsia="Arial" w:hAnsi="Times New Roman" w:cs="Times New Roman"/>
              </w:rPr>
              <w:t xml:space="preserve">quyết định, </w:t>
            </w:r>
            <w:r w:rsidRPr="00BE4250">
              <w:rPr>
                <w:rFonts w:ascii="Times New Roman" w:eastAsia="Arial" w:hAnsi="Times New Roman" w:cs="Times New Roman"/>
                <w:lang w:val="vi-VN"/>
              </w:rPr>
              <w:t xml:space="preserve">triển khai </w:t>
            </w:r>
            <w:r w:rsidRPr="00BE4250">
              <w:rPr>
                <w:rFonts w:ascii="Times New Roman" w:eastAsia="Arial" w:hAnsi="Times New Roman" w:cs="Times New Roman"/>
              </w:rPr>
              <w:t xml:space="preserve">thực hiện </w:t>
            </w:r>
            <w:r w:rsidRPr="00BE4250">
              <w:rPr>
                <w:rFonts w:ascii="Times New Roman" w:eastAsia="Arial" w:hAnsi="Times New Roman" w:cs="Times New Roman"/>
                <w:lang w:val="vi-VN"/>
              </w:rPr>
              <w:t>dự án.</w:t>
            </w:r>
          </w:p>
          <w:p w:rsidR="00295362" w:rsidRPr="00BE4250" w:rsidRDefault="00295362" w:rsidP="00AD4FC0">
            <w:pPr>
              <w:ind w:firstLine="284"/>
              <w:jc w:val="both"/>
              <w:rPr>
                <w:rFonts w:ascii="Times New Roman" w:hAnsi="Times New Roman" w:cs="Times New Roman"/>
              </w:rPr>
            </w:pPr>
            <w:r w:rsidRPr="00BE4250">
              <w:rPr>
                <w:rFonts w:ascii="Times New Roman" w:eastAsia="Times New Roman" w:hAnsi="Times New Roman" w:cs="Times New Roman"/>
              </w:rPr>
              <w:t>Do đó, việc phân cấp thẩm quyền quyết định chủ trương chuyển mục đích sử dụng rừng sang mục đích khác từ Hội đồng nhân dân cấp tỉnh cho Ủy ban nhân dân cấp tỉnh là cần thiết nhằm đảm bảo tính thống nhất về thẩm quyền và nâng cao tính chủ động, kịp thời trong công tác quản lý, điều hành; rút ngắn thời gian giải quyết thủ tục hành chính; tạo điều kiện đẩy nhanh tiến độ triển khai các công trình, dự án, nhất là các dự án cấp bách phục vụ phát triển kinh tế - xã hội, quốc phòng, an ninh, phòng chống thiên tai, khắc phục sự cố và các tình huống khẩn cấp phát sinh trên địa bàn. Bên cạnh đó, việc phân cấp sẽ góp phần giảm khối lượng công việc trình Hội đồng nhân dân tỉnh xem xét, quyết định từ đó nâng cao hiệu quả giải quyết công việc của các cơ quan nhà nước.</w:t>
            </w:r>
          </w:p>
        </w:tc>
        <w:tc>
          <w:tcPr>
            <w:tcW w:w="986" w:type="dxa"/>
            <w:vAlign w:val="center"/>
          </w:tcPr>
          <w:p w:rsidR="00295362" w:rsidRPr="00BE4250" w:rsidRDefault="00295362" w:rsidP="00AD4FC0">
            <w:pPr>
              <w:jc w:val="center"/>
              <w:rPr>
                <w:rFonts w:ascii="Times New Roman" w:hAnsi="Times New Roman" w:cs="Times New Roman"/>
              </w:rPr>
            </w:pPr>
            <w:r w:rsidRPr="00BE4250">
              <w:rPr>
                <w:rFonts w:ascii="Times New Roman" w:hAnsi="Times New Roman" w:cs="Times New Roman"/>
              </w:rPr>
              <w:lastRenderedPageBreak/>
              <w:t>Lĩnh vực Nông nghiệp và môi trường</w:t>
            </w: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295362" w:rsidRPr="00BE4250" w:rsidRDefault="00757310" w:rsidP="00AD4FC0">
            <w:pPr>
              <w:ind w:firstLine="284"/>
              <w:jc w:val="both"/>
              <w:rPr>
                <w:rFonts w:ascii="Times New Roman" w:hAnsi="Times New Roman" w:cs="Times New Roman"/>
                <w:spacing w:val="-4"/>
                <w:lang w:val="vi-VN"/>
              </w:rPr>
            </w:pPr>
            <w:r>
              <w:rPr>
                <w:rFonts w:ascii="Times New Roman" w:hAnsi="Times New Roman" w:cs="Times New Roman"/>
                <w:spacing w:val="-4"/>
              </w:rPr>
              <w:t xml:space="preserve">* </w:t>
            </w:r>
            <w:r w:rsidR="00295362" w:rsidRPr="00BE4250">
              <w:rPr>
                <w:rFonts w:ascii="Times New Roman" w:hAnsi="Times New Roman" w:cs="Times New Roman"/>
                <w:spacing w:val="-4"/>
              </w:rPr>
              <w:t xml:space="preserve">Theo </w:t>
            </w:r>
            <w:r w:rsidR="00295362" w:rsidRPr="00BE4250">
              <w:rPr>
                <w:rFonts w:ascii="Times New Roman" w:hAnsi="Times New Roman" w:cs="Times New Roman"/>
                <w:spacing w:val="-4"/>
                <w:lang w:val="vi-VN"/>
              </w:rPr>
              <w:t xml:space="preserve">khoản 1 Điều 11 </w:t>
            </w:r>
            <w:r w:rsidR="00295362" w:rsidRPr="00BE4250">
              <w:rPr>
                <w:rFonts w:ascii="Times New Roman" w:eastAsia="Arial" w:hAnsi="Times New Roman" w:cs="Times New Roman"/>
                <w:spacing w:val="-4"/>
                <w:lang w:val="vi-VN"/>
              </w:rPr>
              <w:t xml:space="preserve">Luật Hỗ trợ doanh nghiệp nhỏ và vừa số 04/2017/QH14 </w:t>
            </w:r>
            <w:r w:rsidR="00295362" w:rsidRPr="00BE4250">
              <w:rPr>
                <w:rFonts w:ascii="Times New Roman" w:hAnsi="Times New Roman" w:cs="Times New Roman"/>
                <w:spacing w:val="-4"/>
                <w:lang w:val="vi-VN"/>
              </w:rPr>
              <w:t xml:space="preserve">quy định: </w:t>
            </w:r>
            <w:r w:rsidR="00295362" w:rsidRPr="00BE4250">
              <w:rPr>
                <w:rFonts w:ascii="Times New Roman" w:hAnsi="Times New Roman" w:cs="Times New Roman"/>
                <w:i/>
                <w:iCs/>
                <w:spacing w:val="-4"/>
                <w:lang w:val="vi-VN"/>
              </w:rPr>
              <w:t>“1. Căn cứ vào điều kiện quỹ đất thực tế tại địa phương, Ủy ban nhân dân cấp tỉnh trình Hội đồng nhân dân cùng cấp quyết định bố trí quỹ đất để hình thành, phát triển cụm công nghiệp; khu chế biến nông sản, lâm sản, thủy sản, hải sản tập trung cho doanh nghiệp nhỏ và vừa phù hợp với quy hoạch sử dụng đất đã được phê duyệt.”</w:t>
            </w:r>
          </w:p>
          <w:p w:rsidR="00295362" w:rsidRPr="00BE4250" w:rsidRDefault="00295362" w:rsidP="00AD4FC0">
            <w:pPr>
              <w:ind w:firstLine="284"/>
              <w:jc w:val="both"/>
              <w:rPr>
                <w:rFonts w:ascii="Times New Roman" w:hAnsi="Times New Roman" w:cs="Times New Roman"/>
              </w:rPr>
            </w:pPr>
          </w:p>
        </w:tc>
        <w:tc>
          <w:tcPr>
            <w:tcW w:w="2410" w:type="dxa"/>
            <w:vAlign w:val="center"/>
          </w:tcPr>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t>Điểm b khoản 2 Điều 3 dự thảo Nghị quyết quy định:</w:t>
            </w:r>
          </w:p>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t>“</w:t>
            </w:r>
            <w:r w:rsidRPr="00757310">
              <w:rPr>
                <w:rFonts w:ascii="Times New Roman" w:eastAsia="Arial" w:hAnsi="Times New Roman" w:cs="Times New Roman"/>
                <w:i/>
                <w:highlight w:val="white"/>
                <w:lang w:val="vi-VN"/>
              </w:rPr>
              <w:t>Quyết định bố trí quỹ đất để hình thành, phát triển cụm công nghiệp, khu chế biến nông sản, lâm sản, thủy sản, hải sản tập trung cho doanh nghiệp nhỏ và vừa trên địa bàn tỉnh Lai Châu.</w:t>
            </w:r>
            <w:r w:rsidRPr="00757310">
              <w:rPr>
                <w:rFonts w:ascii="Times New Roman" w:eastAsia="Arial" w:hAnsi="Times New Roman" w:cs="Times New Roman"/>
                <w:i/>
                <w:highlight w:val="white"/>
              </w:rPr>
              <w:t>”</w:t>
            </w: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295362" w:rsidRPr="00BE4250" w:rsidRDefault="00295362" w:rsidP="00AD4FC0">
            <w:pPr>
              <w:ind w:firstLine="284"/>
              <w:jc w:val="both"/>
              <w:rPr>
                <w:rFonts w:ascii="Times New Roman" w:eastAsia="Arial" w:hAnsi="Times New Roman" w:cs="Times New Roman"/>
              </w:rPr>
            </w:pPr>
            <w:r w:rsidRPr="00BE4250">
              <w:rPr>
                <w:rFonts w:ascii="Times New Roman" w:eastAsia="Arial" w:hAnsi="Times New Roman" w:cs="Times New Roman"/>
                <w:lang w:val="vi-VN"/>
              </w:rPr>
              <w:t>Hiện nay, điều chỉnh Quy hoạch tỉnh Lai Châu thời kỳ 2021-2030, tầm nhìn đến năm 2050 đã được Chủ tịch UBND tỉnh phê duyệt tại Quyết định số 333/QĐ-UBND ngày 27/02/2026. Theo đó, quỹ đất để hình thành, phát triển cụm công nghiệp; khu chế biến nông sản, lâm sản, thủy sản, hải sản tập trung cho doanh nghiệp nhỏ và vừa đã được tích hợp đầy đủ.</w:t>
            </w:r>
          </w:p>
          <w:p w:rsidR="00295362" w:rsidRPr="00BE4250" w:rsidRDefault="00295362" w:rsidP="00AD4FC0">
            <w:pPr>
              <w:ind w:firstLine="284"/>
              <w:jc w:val="both"/>
              <w:rPr>
                <w:rFonts w:ascii="Times New Roman" w:eastAsia="Arial" w:hAnsi="Times New Roman" w:cs="Times New Roman"/>
              </w:rPr>
            </w:pPr>
            <w:r w:rsidRPr="00BE4250">
              <w:rPr>
                <w:rFonts w:ascii="Times New Roman" w:eastAsia="Arial" w:hAnsi="Times New Roman" w:cs="Times New Roman"/>
              </w:rPr>
              <w:t xml:space="preserve">Theo </w:t>
            </w:r>
            <w:r w:rsidRPr="00BE4250">
              <w:rPr>
                <w:rFonts w:ascii="Times New Roman" w:eastAsia="Arial" w:hAnsi="Times New Roman" w:cs="Times New Roman"/>
                <w:lang w:val="vi-VN"/>
              </w:rPr>
              <w:t>khoản 3 Điều 4 Nghị quyết số 254/2025/QH15 ngày 20</w:t>
            </w:r>
            <w:r w:rsidRPr="00BE4250">
              <w:rPr>
                <w:rFonts w:ascii="Times New Roman" w:eastAsia="Arial" w:hAnsi="Times New Roman" w:cs="Times New Roman"/>
              </w:rPr>
              <w:t>/11/</w:t>
            </w:r>
            <w:r w:rsidRPr="00BE4250">
              <w:rPr>
                <w:rFonts w:ascii="Times New Roman" w:eastAsia="Arial" w:hAnsi="Times New Roman" w:cs="Times New Roman"/>
                <w:lang w:val="vi-VN"/>
              </w:rPr>
              <w:t>2025 của Quốc hội về một số cơ chế, chính sách tháo gỡ khó khăn, vướng mắc trong tổ chức thi hành Luật Đất đai quy định: “3. Người có thẩm quyền quyết định giao đất, cho thuê đất, cho phép chuyển mục đích sử dụng đất trồng lúa, đất rừng đặc dụng, đất rừng phòng hộ, đất rừng sản xuất sang mục đích khác mà không phải trình Hội đồng nhân dân cấp tỉnh chấp thuận.”.</w:t>
            </w:r>
          </w:p>
          <w:p w:rsidR="00295362" w:rsidRPr="00BE4250" w:rsidRDefault="00295362" w:rsidP="00AD4FC0">
            <w:pPr>
              <w:ind w:firstLine="284"/>
              <w:jc w:val="both"/>
              <w:rPr>
                <w:rFonts w:ascii="Times New Roman" w:hAnsi="Times New Roman" w:cs="Times New Roman"/>
              </w:rPr>
            </w:pPr>
            <w:r w:rsidRPr="00BE4250">
              <w:rPr>
                <w:rFonts w:ascii="Times New Roman" w:eastAsia="Arial" w:hAnsi="Times New Roman" w:cs="Times New Roman"/>
                <w:highlight w:val="white"/>
                <w:lang w:val="vi-VN"/>
              </w:rPr>
              <w:t xml:space="preserve">Việc phân cấp thẩm quyền từ Hội đồng nhân dân tỉnh cho Ủy ban nhân dân tỉnh </w:t>
            </w:r>
            <w:r w:rsidRPr="00BE4250">
              <w:rPr>
                <w:rFonts w:ascii="Times New Roman" w:eastAsia="Arial" w:hAnsi="Times New Roman" w:cs="Times New Roman"/>
                <w:highlight w:val="white"/>
              </w:rPr>
              <w:t>sẽ</w:t>
            </w:r>
            <w:r w:rsidRPr="00BE4250">
              <w:rPr>
                <w:rFonts w:ascii="Times New Roman" w:eastAsia="Arial" w:hAnsi="Times New Roman" w:cs="Times New Roman"/>
                <w:highlight w:val="white"/>
                <w:lang w:val="vi-VN"/>
              </w:rPr>
              <w:t xml:space="preserve"> </w:t>
            </w:r>
            <w:r w:rsidRPr="00BE4250">
              <w:rPr>
                <w:rFonts w:ascii="Times New Roman" w:eastAsia="Arial" w:hAnsi="Times New Roman" w:cs="Times New Roman"/>
              </w:rPr>
              <w:t xml:space="preserve"> t</w:t>
            </w:r>
            <w:r w:rsidRPr="00BE4250">
              <w:rPr>
                <w:rFonts w:ascii="Times New Roman" w:eastAsia="Arial" w:hAnsi="Times New Roman" w:cs="Times New Roman"/>
                <w:lang w:val="vi-VN"/>
              </w:rPr>
              <w:t>ạo cơ sở pháp lý đồng bộ để UBND tỉnh chủ động, kịp thời quyết định các nội dung bố trí quỹ đất đã được định hướng trong quy hoạch</w:t>
            </w:r>
            <w:r w:rsidRPr="00BE4250">
              <w:rPr>
                <w:rFonts w:ascii="Times New Roman" w:eastAsia="Arial" w:hAnsi="Times New Roman" w:cs="Times New Roman"/>
              </w:rPr>
              <w:t>; r</w:t>
            </w:r>
            <w:r w:rsidRPr="00BE4250">
              <w:rPr>
                <w:rFonts w:ascii="Times New Roman" w:eastAsia="Arial" w:hAnsi="Times New Roman" w:cs="Times New Roman"/>
                <w:lang w:val="vi-VN"/>
              </w:rPr>
              <w:t xml:space="preserve">út ngắn đáng kể quy trình xử lý công việc và hồ sơ hành chính, đẩy nhanh tiến độ thu hút </w:t>
            </w:r>
            <w:r w:rsidRPr="00BE4250">
              <w:rPr>
                <w:rFonts w:ascii="Times New Roman" w:eastAsia="Arial" w:hAnsi="Times New Roman" w:cs="Times New Roman"/>
                <w:lang w:val="vi-VN"/>
              </w:rPr>
              <w:lastRenderedPageBreak/>
              <w:t>đầu tư hỗ trợ doanh nghiệp nhỏ và vừa</w:t>
            </w:r>
            <w:r w:rsidRPr="00BE4250">
              <w:rPr>
                <w:rFonts w:ascii="Times New Roman" w:eastAsia="Arial" w:hAnsi="Times New Roman" w:cs="Times New Roman"/>
              </w:rPr>
              <w:t>; n</w:t>
            </w:r>
            <w:r w:rsidRPr="00BE4250">
              <w:rPr>
                <w:rFonts w:ascii="Times New Roman" w:eastAsia="Arial" w:hAnsi="Times New Roman" w:cs="Times New Roman"/>
                <w:spacing w:val="-2"/>
                <w:lang w:val="vi-VN"/>
              </w:rPr>
              <w:t>âng cao hiệu lực, hiệu quả quản lý nhà nước, tăng tính linh hoạt điều hành kinh tế - xã hội tại địa phương</w:t>
            </w:r>
            <w:r w:rsidRPr="00BE4250">
              <w:rPr>
                <w:rFonts w:ascii="Times New Roman" w:eastAsia="Arial" w:hAnsi="Times New Roman" w:cs="Times New Roman"/>
                <w:spacing w:val="-2"/>
              </w:rPr>
              <w:t>; đ</w:t>
            </w:r>
            <w:r w:rsidRPr="00BE4250">
              <w:rPr>
                <w:rFonts w:ascii="Times New Roman" w:eastAsia="Arial" w:hAnsi="Times New Roman" w:cs="Times New Roman"/>
                <w:lang w:val="vi-VN"/>
              </w:rPr>
              <w:t>ồng thời, vẫn bảo đảm nguyên tắc HĐND tỉnh thực hiện tốt chức năng giám sát tối cao việc tổ chức thực hiện của UBND tỉnh theo đúng quy định của pháp luật.</w:t>
            </w:r>
          </w:p>
        </w:tc>
        <w:tc>
          <w:tcPr>
            <w:tcW w:w="986" w:type="dxa"/>
            <w:vAlign w:val="center"/>
          </w:tcPr>
          <w:p w:rsidR="00295362" w:rsidRPr="00BE4250" w:rsidRDefault="00295362" w:rsidP="00AD4FC0">
            <w:pPr>
              <w:jc w:val="center"/>
              <w:rPr>
                <w:rFonts w:ascii="Times New Roman" w:hAnsi="Times New Roman" w:cs="Times New Roman"/>
              </w:rPr>
            </w:pPr>
            <w:r w:rsidRPr="00BE4250">
              <w:rPr>
                <w:rFonts w:ascii="Times New Roman" w:hAnsi="Times New Roman" w:cs="Times New Roman"/>
              </w:rPr>
              <w:lastRenderedPageBreak/>
              <w:t>Lĩnh vực Nông nghiệp và môi trường</w:t>
            </w: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295362" w:rsidRPr="00BE4250" w:rsidRDefault="009B51EE" w:rsidP="00AD4FC0">
            <w:pPr>
              <w:ind w:firstLine="284"/>
              <w:jc w:val="both"/>
              <w:rPr>
                <w:rFonts w:ascii="Times New Roman" w:eastAsia="Times New Roman" w:hAnsi="Times New Roman" w:cs="Times New Roman"/>
              </w:rPr>
            </w:pPr>
            <w:r>
              <w:rPr>
                <w:rFonts w:ascii="Times New Roman" w:eastAsia="Times New Roman" w:hAnsi="Times New Roman" w:cs="Times New Roman"/>
              </w:rPr>
              <w:t xml:space="preserve">* </w:t>
            </w:r>
            <w:r w:rsidR="00295362" w:rsidRPr="00BE4250">
              <w:rPr>
                <w:rFonts w:ascii="Times New Roman" w:eastAsia="Times New Roman" w:hAnsi="Times New Roman" w:cs="Times New Roman"/>
              </w:rPr>
              <w:t xml:space="preserve">Tại điểm b khoản 2 Điều 47 Nghị định số 193/2025/NĐ-CP ngày 02/7/2025 của Chính phủ quy định </w:t>
            </w:r>
            <w:r w:rsidR="00295362" w:rsidRPr="00BE4250">
              <w:rPr>
                <w:rFonts w:ascii="Times New Roman" w:hAnsi="Times New Roman" w:cs="Times New Roman"/>
                <w:iCs/>
              </w:rPr>
              <w:t>chi tiết một số điều và biện pháp thi hành </w:t>
            </w:r>
            <w:hyperlink r:id="rId7" w:tgtFrame="_blank" w:tooltip="Luật Địa chất và khoáng sản" w:history="1">
              <w:r w:rsidR="00295362" w:rsidRPr="00BE4250">
                <w:rPr>
                  <w:rStyle w:val="Hyperlink"/>
                  <w:rFonts w:ascii="Times New Roman" w:hAnsi="Times New Roman" w:cs="Times New Roman"/>
                  <w:iCs/>
                  <w:color w:val="auto"/>
                </w:rPr>
                <w:t>Luật Địa chất và khoáng sản</w:t>
              </w:r>
            </w:hyperlink>
            <w:r w:rsidR="00295362" w:rsidRPr="00BE4250">
              <w:rPr>
                <w:rFonts w:ascii="Times New Roman" w:eastAsia="Times New Roman" w:hAnsi="Times New Roman" w:cs="Times New Roman"/>
              </w:rPr>
              <w:t xml:space="preserve"> quy định:</w:t>
            </w:r>
          </w:p>
          <w:p w:rsidR="00295362" w:rsidRPr="00BE4250" w:rsidRDefault="00295362" w:rsidP="00AD4FC0">
            <w:pPr>
              <w:ind w:firstLine="284"/>
              <w:jc w:val="both"/>
              <w:rPr>
                <w:rFonts w:ascii="Times New Roman" w:eastAsia="Times New Roman" w:hAnsi="Times New Roman" w:cs="Times New Roman"/>
                <w:i/>
              </w:rPr>
            </w:pPr>
            <w:r w:rsidRPr="00BE4250">
              <w:rPr>
                <w:rFonts w:ascii="Times New Roman" w:eastAsia="Times New Roman" w:hAnsi="Times New Roman" w:cs="Times New Roman"/>
                <w:i/>
              </w:rPr>
              <w:t>“</w:t>
            </w:r>
            <w:r w:rsidRPr="00BE4250">
              <w:rPr>
                <w:rFonts w:ascii="Times New Roman" w:hAnsi="Times New Roman" w:cs="Times New Roman"/>
                <w:i/>
              </w:rPr>
              <w:t>2. Lập và phê duyệt danh mục khu vực thăm dò khoáng sản sử dụng vốn ngân sách nhà nước:</w:t>
            </w:r>
          </w:p>
          <w:p w:rsidR="00295362" w:rsidRPr="00BE4250" w:rsidRDefault="00295362" w:rsidP="00AD4FC0">
            <w:pPr>
              <w:ind w:firstLine="284"/>
              <w:jc w:val="both"/>
              <w:rPr>
                <w:rFonts w:ascii="Times New Roman" w:hAnsi="Times New Roman" w:cs="Times New Roman"/>
              </w:rPr>
            </w:pPr>
            <w:r w:rsidRPr="00BE4250">
              <w:rPr>
                <w:rFonts w:ascii="Times New Roman" w:eastAsia="Times New Roman" w:hAnsi="Times New Roman" w:cs="Times New Roman"/>
                <w:i/>
              </w:rPr>
              <w:t>b) Ủy ban nhân dân cấp tỉnh lập danh mục các khu vực thăm dò khoáng sản thuộc thẩm quyền cấp giấy phép của Chủ tịch Ủy ban nhân dân cấp tỉnh, trình Hội đồng nhân dân cấp tỉnh thông qua trước khi quyết định;…”.</w:t>
            </w:r>
          </w:p>
        </w:tc>
        <w:tc>
          <w:tcPr>
            <w:tcW w:w="2410" w:type="dxa"/>
            <w:vAlign w:val="center"/>
          </w:tcPr>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t>Điểm c khoản 2  Điều 3 dự thảo Nghị quyết quy định: “</w:t>
            </w:r>
            <w:r w:rsidR="004C6DFA">
              <w:rPr>
                <w:rFonts w:ascii="Times New Roman" w:hAnsi="Times New Roman" w:cs="Times New Roman"/>
                <w:i/>
              </w:rPr>
              <w:t>Quyết định</w:t>
            </w:r>
            <w:r w:rsidRPr="00BE4250">
              <w:rPr>
                <w:rFonts w:ascii="Times New Roman" w:hAnsi="Times New Roman" w:cs="Times New Roman"/>
                <w:i/>
              </w:rPr>
              <w:t xml:space="preserve"> </w:t>
            </w:r>
            <w:r w:rsidRPr="00BE4250">
              <w:rPr>
                <w:rFonts w:ascii="Times New Roman" w:eastAsia="Times New Roman" w:hAnsi="Times New Roman" w:cs="Times New Roman"/>
                <w:i/>
              </w:rPr>
              <w:t xml:space="preserve">danh mục các khu vực thăm dò khoáng sản thuộc thẩm quyền cấp giấy phép của Chủ tịch Ủy ban nhân dân tỉnh </w:t>
            </w:r>
            <w:r w:rsidRPr="00BE4250">
              <w:rPr>
                <w:rFonts w:ascii="Times New Roman" w:hAnsi="Times New Roman" w:cs="Times New Roman"/>
                <w:i/>
              </w:rPr>
              <w:t>sử dụng vốn ngân sách nhà nước</w:t>
            </w:r>
            <w:r w:rsidR="004C6DFA">
              <w:rPr>
                <w:rFonts w:ascii="Times New Roman" w:hAnsi="Times New Roman" w:cs="Times New Roman"/>
                <w:i/>
              </w:rPr>
              <w:t xml:space="preserve"> mà không phải trình Hội đồng nhân dân tỉnh thông qua”</w:t>
            </w:r>
          </w:p>
          <w:p w:rsidR="00295362" w:rsidRPr="00BE4250" w:rsidRDefault="00295362" w:rsidP="00AD4FC0">
            <w:pPr>
              <w:ind w:firstLine="284"/>
              <w:jc w:val="both"/>
              <w:rPr>
                <w:rFonts w:ascii="Times New Roman" w:hAnsi="Times New Roman" w:cs="Times New Roman"/>
              </w:rPr>
            </w:pP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295362" w:rsidRPr="00BE4250" w:rsidRDefault="00295362" w:rsidP="00AD4FC0">
            <w:pPr>
              <w:ind w:firstLine="284"/>
              <w:jc w:val="both"/>
              <w:rPr>
                <w:rFonts w:ascii="Times New Roman" w:eastAsia="Times New Roman" w:hAnsi="Times New Roman" w:cs="Times New Roman"/>
              </w:rPr>
            </w:pPr>
            <w:r w:rsidRPr="00BE4250">
              <w:rPr>
                <w:rFonts w:ascii="Times New Roman" w:eastAsia="Times New Roman" w:hAnsi="Times New Roman" w:cs="Times New Roman"/>
              </w:rPr>
              <w:t>Theo khoản 1 Điều 49 Luật Địa chất và khoáng sản số 54/2024/QH15 quy định “1. Nhà nước sử dụng vốn ngân sách để tổ chức thực hiện thăm dò khoáng sản đối với một số khu vực có khoáng sản chiến lược, quan trọng và khoáng sản có giá trị kinh tế cao, nhu cầu sử dụng lớn.”.</w:t>
            </w:r>
          </w:p>
          <w:p w:rsidR="00295362" w:rsidRPr="00BE4250" w:rsidRDefault="00295362" w:rsidP="00AD4FC0">
            <w:pPr>
              <w:ind w:firstLine="284"/>
              <w:jc w:val="both"/>
              <w:rPr>
                <w:rFonts w:ascii="Times New Roman" w:eastAsia="Arial" w:hAnsi="Times New Roman" w:cs="Times New Roman"/>
              </w:rPr>
            </w:pPr>
            <w:r w:rsidRPr="00BE4250">
              <w:rPr>
                <w:rFonts w:ascii="Times New Roman" w:eastAsia="Arial" w:hAnsi="Times New Roman" w:cs="Times New Roman"/>
                <w:lang w:val="vi-VN"/>
              </w:rPr>
              <w:t>Trong quá trình triển khai công tác quản lý nhà nước về khoáng sản tại địa phương, việc thông qua danh mục các khu vực thăm dò khoáng sản là bước thủ tục quan trọng trước khi cơ quan có thẩm quyền xem xét cấp giấy phép thăm dò. Tuy nhiên, thực tiễn cho thấy việc trình Hội đồng nhân dân tỉnh xem xét, thông qua danh mục chỉ được thực hiện tại các kỳ họp của Hội đồng nhân dân, trong khi nhu cầu bổ sung, điều chỉnh danh mục phát sinh thường xuyên theo kết quả điều tra địa chất, nhu cầu đầu tư của doanh nghiệp, yêu cầu phát triển kinh tế - xã hội và công tác quản lý tài nguyên của địa phương. Điều này có thể làm kéo dài thời gian giải quyết, ảnh hưởng đến tiến độ triển khai các dự án thăm dò khoáng sản. Trong khi đó, Ủy ban nhân dân tỉnh trực tiếp tổ chức thực hiện chức năng quản lý nhà nước về địa chất và khoáng sản, chỉ đạo các sở, ngành và địa phương thực hiện điều tra, đánh giá tài nguyên, bảo vệ khoáng sản chưa khai thác, cấp phép hoạt động khoáng sản và kiểm tra, giám sát quá trình thực hiện.</w:t>
            </w:r>
          </w:p>
          <w:p w:rsidR="00295362" w:rsidRPr="00BE4250" w:rsidRDefault="00295362" w:rsidP="00AD4FC0">
            <w:pPr>
              <w:ind w:firstLine="284"/>
              <w:jc w:val="both"/>
              <w:rPr>
                <w:rFonts w:ascii="Times New Roman" w:eastAsia="Arial" w:hAnsi="Times New Roman" w:cs="Times New Roman"/>
              </w:rPr>
            </w:pPr>
            <w:r w:rsidRPr="00BE4250">
              <w:rPr>
                <w:rFonts w:ascii="Times New Roman" w:eastAsia="Arial" w:hAnsi="Times New Roman" w:cs="Times New Roman"/>
                <w:lang w:val="vi-VN"/>
              </w:rPr>
              <w:t>Việc giao Ủy ban nhân dân tỉnh quyết định thông qua danh mục các khu vực thăm dò sẽ bảo đảm tính thống nhất giữa khâu lập danh mục và khâu tổ chức thực hiện, tạo sự chủ động trong công tác quản lý góp phần rút ngắn thời gian xử lý hồ sơ, giảm số lượng nội dung phải trình Hội đồng nhân dân tỉnh, nâng cao hiệu quả cải cách thủ tục hành chính, cải thiện môi trường đầu tư, tạo điều kiện cho các tổ chức, doanh nghiệp triển khai hoạt động thăm dò theo đúng quy định của pháp luật. Đồng thời, việc phân cấp này giúp cơ quan quản lý kịp thời điều chỉnh, bổ sung danh mục khi có thay đổi về quy hoạch, kết quả điều tra địa chất hoặc yêu cầu phát triển kinh tế - xã hội.</w:t>
            </w:r>
          </w:p>
        </w:tc>
        <w:tc>
          <w:tcPr>
            <w:tcW w:w="986" w:type="dxa"/>
            <w:vAlign w:val="center"/>
          </w:tcPr>
          <w:p w:rsidR="00295362" w:rsidRPr="00BE4250" w:rsidRDefault="00295362" w:rsidP="00AD4FC0">
            <w:pPr>
              <w:jc w:val="center"/>
              <w:rPr>
                <w:rFonts w:ascii="Times New Roman" w:hAnsi="Times New Roman" w:cs="Times New Roman"/>
              </w:rPr>
            </w:pPr>
            <w:r w:rsidRPr="00BE4250">
              <w:rPr>
                <w:rFonts w:ascii="Times New Roman" w:hAnsi="Times New Roman" w:cs="Times New Roman"/>
              </w:rPr>
              <w:t>Lĩnh vực Nông nghiệp và môi trường</w:t>
            </w: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295362" w:rsidRPr="00BE4250" w:rsidRDefault="009B51EE" w:rsidP="00AD4FC0">
            <w:pPr>
              <w:ind w:firstLine="284"/>
              <w:jc w:val="both"/>
              <w:rPr>
                <w:rFonts w:ascii="Times New Roman" w:hAnsi="Times New Roman" w:cs="Times New Roman"/>
                <w:i/>
                <w:iCs/>
                <w:highlight w:val="white"/>
              </w:rPr>
            </w:pPr>
            <w:r>
              <w:rPr>
                <w:rFonts w:ascii="Times New Roman" w:hAnsi="Times New Roman" w:cs="Times New Roman"/>
              </w:rPr>
              <w:t xml:space="preserve">* </w:t>
            </w:r>
            <w:r w:rsidR="00295362" w:rsidRPr="00BE4250">
              <w:rPr>
                <w:rFonts w:ascii="Times New Roman" w:hAnsi="Times New Roman" w:cs="Times New Roman"/>
              </w:rPr>
              <w:t xml:space="preserve">Tại điểm b khoản 3 Điều 58 Nghị định số </w:t>
            </w:r>
            <w:r w:rsidR="00295362" w:rsidRPr="00BE4250">
              <w:rPr>
                <w:rFonts w:ascii="Times New Roman" w:hAnsi="Times New Roman" w:cs="Times New Roman"/>
                <w:lang w:val="vi-VN"/>
              </w:rPr>
              <w:t>53/2024/NĐ-CP</w:t>
            </w:r>
            <w:r w:rsidR="00295362" w:rsidRPr="00BE4250">
              <w:rPr>
                <w:rFonts w:ascii="Times New Roman" w:hAnsi="Times New Roman" w:cs="Times New Roman"/>
                <w:highlight w:val="white"/>
                <w:lang w:val="vi-VN"/>
              </w:rPr>
              <w:t xml:space="preserve"> </w:t>
            </w:r>
            <w:r w:rsidR="00295362" w:rsidRPr="00BE4250">
              <w:rPr>
                <w:rFonts w:ascii="Times New Roman" w:hAnsi="Times New Roman" w:cs="Times New Roman"/>
              </w:rPr>
              <w:t xml:space="preserve">ngày 16/5/2024 </w:t>
            </w:r>
            <w:r w:rsidR="00295362" w:rsidRPr="00BE4250">
              <w:rPr>
                <w:rFonts w:ascii="Times New Roman" w:hAnsi="Times New Roman" w:cs="Times New Roman"/>
                <w:lang w:val="vi-VN"/>
              </w:rPr>
              <w:t>của Chính phủ quy định chi tiết thi hành một số điều của Luật Tài nguyên nước</w:t>
            </w:r>
            <w:r w:rsidR="00295362" w:rsidRPr="00BE4250">
              <w:rPr>
                <w:rFonts w:ascii="Times New Roman" w:hAnsi="Times New Roman" w:cs="Times New Roman"/>
              </w:rPr>
              <w:t>, được sửa đổi bổ sung bởi Nghị định số 23/2026/NĐ-CP</w:t>
            </w:r>
            <w:r w:rsidR="00295362" w:rsidRPr="00BE4250">
              <w:rPr>
                <w:rFonts w:ascii="Times New Roman" w:eastAsia="Times New Roman" w:hAnsi="Times New Roman" w:cs="Times New Roman"/>
              </w:rPr>
              <w:t xml:space="preserve"> quy định “…..</w:t>
            </w:r>
            <w:r w:rsidR="00295362" w:rsidRPr="00BE4250">
              <w:rPr>
                <w:rFonts w:ascii="Times New Roman" w:hAnsi="Times New Roman" w:cs="Times New Roman"/>
                <w:i/>
                <w:iCs/>
                <w:highlight w:val="white"/>
                <w:lang w:val="vi-VN"/>
              </w:rPr>
              <w:t xml:space="preserve">b) </w:t>
            </w:r>
            <w:r w:rsidR="00295362" w:rsidRPr="00BE4250">
              <w:rPr>
                <w:rFonts w:ascii="Times New Roman" w:hAnsi="Times New Roman" w:cs="Times New Roman"/>
                <w:i/>
                <w:shd w:val="clear" w:color="auto" w:fill="FFFFFF"/>
              </w:rPr>
              <w:t>Sau khi hoàn thiện theo ý kiến góp ý</w:t>
            </w:r>
            <w:r w:rsidR="00295362" w:rsidRPr="00BE4250">
              <w:rPr>
                <w:rFonts w:ascii="Times New Roman" w:hAnsi="Times New Roman" w:cs="Times New Roman"/>
                <w:i/>
                <w:iCs/>
                <w:highlight w:val="white"/>
                <w:lang w:val="vi-VN"/>
              </w:rPr>
              <w:t xml:space="preserve"> của các đơn vị quy định tại điểm a khoản này, Sở Nông nghiệp và Môi trường tổng hợp, tiếp thu, giải trình và hoàn thiện hồ sơ trình Ủy ban nhân dân cấp tỉnh để trình lấy ý kiến Hội đồng nhân dân cấp tỉnh trước khi phê duyệt…”</w:t>
            </w:r>
          </w:p>
        </w:tc>
        <w:tc>
          <w:tcPr>
            <w:tcW w:w="2410" w:type="dxa"/>
            <w:vAlign w:val="center"/>
          </w:tcPr>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t>Điểm d khoản 2  Điều 3 dự thảo Nghị quyết quy định:</w:t>
            </w:r>
          </w:p>
          <w:p w:rsidR="00295362" w:rsidRPr="00BE4250" w:rsidRDefault="00295362" w:rsidP="00AD4FC0">
            <w:pPr>
              <w:ind w:firstLine="284"/>
              <w:jc w:val="both"/>
              <w:rPr>
                <w:rFonts w:ascii="Times New Roman" w:eastAsia="Times New Roman" w:hAnsi="Times New Roman" w:cs="Times New Roman"/>
                <w:i/>
              </w:rPr>
            </w:pPr>
            <w:r w:rsidRPr="00BE4250">
              <w:rPr>
                <w:rFonts w:ascii="Times New Roman" w:hAnsi="Times New Roman" w:cs="Times New Roman"/>
              </w:rPr>
              <w:t>“</w:t>
            </w:r>
            <w:r w:rsidRPr="00BE4250">
              <w:rPr>
                <w:rFonts w:ascii="Times New Roman" w:eastAsia="Times New Roman" w:hAnsi="Times New Roman" w:cs="Times New Roman"/>
                <w:i/>
              </w:rPr>
              <w:t xml:space="preserve">Ủy ban nhân dân tỉnh </w:t>
            </w:r>
            <w:r w:rsidRPr="00BE4250">
              <w:rPr>
                <w:rFonts w:ascii="Times New Roman" w:hAnsi="Times New Roman" w:cs="Times New Roman"/>
                <w:i/>
              </w:rPr>
              <w:t>Quyết định đ</w:t>
            </w:r>
            <w:r w:rsidRPr="00BE4250">
              <w:rPr>
                <w:rFonts w:ascii="Times New Roman" w:hAnsi="Times New Roman" w:cs="Times New Roman"/>
                <w:i/>
                <w:lang w:val="vi-VN"/>
              </w:rPr>
              <w:t xml:space="preserve">iều chỉnh đưa hồ, ao, đầm, phá ra khỏi </w:t>
            </w:r>
            <w:r w:rsidRPr="00BE4250">
              <w:rPr>
                <w:rFonts w:ascii="Times New Roman" w:hAnsi="Times New Roman" w:cs="Times New Roman"/>
                <w:i/>
              </w:rPr>
              <w:t>d</w:t>
            </w:r>
            <w:r w:rsidRPr="00BE4250">
              <w:rPr>
                <w:rFonts w:ascii="Times New Roman" w:hAnsi="Times New Roman" w:cs="Times New Roman"/>
                <w:i/>
                <w:lang w:val="vi-VN"/>
              </w:rPr>
              <w:t>anh mục hồ, ao, đầm, phá không được san lấp trên địa bàn tỉnh</w:t>
            </w:r>
            <w:r w:rsidRPr="00BE4250">
              <w:rPr>
                <w:rFonts w:ascii="Times New Roman" w:hAnsi="Times New Roman" w:cs="Times New Roman"/>
                <w:i/>
              </w:rPr>
              <w:t xml:space="preserve"> mà không phải trình Hội đồng nhân dân tỉnh cho ý kiến”</w:t>
            </w:r>
          </w:p>
          <w:p w:rsidR="00295362" w:rsidRPr="00BE4250" w:rsidRDefault="00295362" w:rsidP="00AD4FC0">
            <w:pPr>
              <w:ind w:firstLine="284"/>
              <w:jc w:val="both"/>
              <w:rPr>
                <w:rFonts w:ascii="Times New Roman" w:hAnsi="Times New Roman" w:cs="Times New Roman"/>
              </w:rPr>
            </w:pP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lang w:val="vi-VN"/>
              </w:rPr>
              <w:t>Theo quy định tại Điều 58 Nghị định 53/2024/NĐ-CP của Chính phủ, thẩm quyền quyết định việc Điều chỉnh đưa hồ, ao, đầm, phá ra khỏi Danh mục hồ, ao, đầm, phá không được san lấp trên địa bàn tỉnh thuộc thẩm quyền của UBND tỉnh, tuy nhiên trước khi phê duyệt thì UBND tỉnh phải trình lấy ý kiến HĐND tỉnh.</w:t>
            </w:r>
          </w:p>
          <w:p w:rsidR="00295362" w:rsidRPr="00BE4250" w:rsidRDefault="00295362" w:rsidP="00AD4FC0">
            <w:pPr>
              <w:ind w:firstLine="284"/>
              <w:jc w:val="both"/>
              <w:rPr>
                <w:rFonts w:ascii="Times New Roman" w:hAnsi="Times New Roman" w:cs="Times New Roman"/>
                <w:spacing w:val="-4"/>
              </w:rPr>
            </w:pPr>
            <w:r w:rsidRPr="00BE4250">
              <w:rPr>
                <w:rFonts w:ascii="Times New Roman" w:hAnsi="Times New Roman" w:cs="Times New Roman"/>
                <w:spacing w:val="-4"/>
                <w:highlight w:val="white"/>
                <w:lang w:val="vi-VN"/>
              </w:rPr>
              <w:t xml:space="preserve">Đối với việc </w:t>
            </w:r>
            <w:r w:rsidRPr="00BE4250">
              <w:rPr>
                <w:rFonts w:ascii="Times New Roman" w:hAnsi="Times New Roman" w:cs="Times New Roman"/>
                <w:spacing w:val="-4"/>
              </w:rPr>
              <w:t>đ</w:t>
            </w:r>
            <w:r w:rsidRPr="00BE4250">
              <w:rPr>
                <w:rFonts w:ascii="Times New Roman" w:hAnsi="Times New Roman" w:cs="Times New Roman"/>
                <w:spacing w:val="-4"/>
                <w:lang w:val="vi-VN"/>
              </w:rPr>
              <w:t>iều chỉnh đưa hồ, ao, đầm, phá ra khỏi Danh mục hồ, ao, đầm, phá không được san lấp trên địa bàn tỉnh</w:t>
            </w:r>
            <w:r w:rsidRPr="00BE4250">
              <w:rPr>
                <w:rFonts w:ascii="Times New Roman" w:hAnsi="Times New Roman" w:cs="Times New Roman"/>
                <w:spacing w:val="-4"/>
                <w:highlight w:val="white"/>
                <w:lang w:val="vi-VN"/>
              </w:rPr>
              <w:t xml:space="preserve">, pháp luật về tài nguyên nước đã quy định đầy đủ về căn cứ, điều kiện, hồ sơ, trình tự, thủ tục, trách nhiệm của các cơ quan có liên quan và các trường hợp được phép </w:t>
            </w:r>
            <w:r w:rsidRPr="00BE4250">
              <w:rPr>
                <w:rFonts w:ascii="Times New Roman" w:hAnsi="Times New Roman" w:cs="Times New Roman"/>
                <w:spacing w:val="-4"/>
                <w:lang w:val="vi-VN"/>
              </w:rPr>
              <w:t>Điều chỉnh đưa hồ, ao, đầm, phá ra khỏi Danh mục hồ, ao, đầm, phá không được san lấp trên địa bàn tỉnh</w:t>
            </w:r>
            <w:r w:rsidRPr="00BE4250">
              <w:rPr>
                <w:rFonts w:ascii="Times New Roman" w:hAnsi="Times New Roman" w:cs="Times New Roman"/>
                <w:spacing w:val="-4"/>
                <w:highlight w:val="white"/>
                <w:lang w:val="vi-VN"/>
              </w:rPr>
              <w:t>. Vì vậy, việc phân cấp không làm thay đổi các điều kiện, tiêu chuẩn</w:t>
            </w:r>
            <w:r w:rsidRPr="00BE4250">
              <w:rPr>
                <w:rFonts w:ascii="Times New Roman" w:hAnsi="Times New Roman" w:cs="Times New Roman"/>
                <w:spacing w:val="-4"/>
              </w:rPr>
              <w:t>, mà chỉ cắt giảm quy trình trình HĐND tỉnh cho ý kiến.</w:t>
            </w:r>
          </w:p>
          <w:p w:rsidR="00295362" w:rsidRPr="00BE4250" w:rsidRDefault="00295362" w:rsidP="00AD4FC0">
            <w:pPr>
              <w:ind w:firstLine="284"/>
              <w:jc w:val="both"/>
              <w:rPr>
                <w:rFonts w:ascii="Times New Roman" w:hAnsi="Times New Roman" w:cs="Times New Roman"/>
                <w:spacing w:val="-4"/>
              </w:rPr>
            </w:pPr>
            <w:r w:rsidRPr="00BE4250">
              <w:rPr>
                <w:rFonts w:ascii="Times New Roman" w:hAnsi="Times New Roman" w:cs="Times New Roman"/>
                <w:spacing w:val="-4"/>
              </w:rPr>
              <w:t xml:space="preserve">Việc </w:t>
            </w:r>
            <w:r w:rsidRPr="00BE4250">
              <w:rPr>
                <w:rFonts w:ascii="Times New Roman" w:hAnsi="Times New Roman" w:cs="Times New Roman"/>
                <w:highlight w:val="white"/>
              </w:rPr>
              <w:t>quy định</w:t>
            </w:r>
            <w:r w:rsidRPr="00BE4250">
              <w:rPr>
                <w:rFonts w:ascii="Times New Roman" w:hAnsi="Times New Roman" w:cs="Times New Roman"/>
                <w:highlight w:val="white"/>
                <w:lang w:val="vi-VN"/>
              </w:rPr>
              <w:t xml:space="preserve"> cho Ủy ban nhân dân cấp tỉnh</w:t>
            </w:r>
            <w:r w:rsidRPr="00BE4250">
              <w:rPr>
                <w:rFonts w:ascii="Times New Roman" w:hAnsi="Times New Roman" w:cs="Times New Roman"/>
                <w:highlight w:val="white"/>
              </w:rPr>
              <w:t xml:space="preserve"> không cần phải lấy ý kiến</w:t>
            </w:r>
            <w:r w:rsidRPr="00BE4250">
              <w:rPr>
                <w:rFonts w:ascii="Times New Roman" w:hAnsi="Times New Roman" w:cs="Times New Roman"/>
                <w:highlight w:val="white"/>
                <w:lang w:val="vi-VN"/>
              </w:rPr>
              <w:t xml:space="preserve"> Hội đồng nhân dân cấp tỉnh</w:t>
            </w:r>
            <w:r w:rsidRPr="00BE4250">
              <w:rPr>
                <w:rFonts w:ascii="Times New Roman" w:hAnsi="Times New Roman" w:cs="Times New Roman"/>
                <w:highlight w:val="white"/>
              </w:rPr>
              <w:t xml:space="preserve"> sẽ </w:t>
            </w:r>
            <w:r w:rsidRPr="00BE4250">
              <w:rPr>
                <w:rFonts w:ascii="Times New Roman" w:hAnsi="Times New Roman" w:cs="Times New Roman"/>
                <w:highlight w:val="white"/>
                <w:lang w:val="vi-VN"/>
              </w:rPr>
              <w:t>rút ngắn trình tự, thời gian giải quyết</w:t>
            </w:r>
            <w:r w:rsidRPr="00BE4250">
              <w:rPr>
                <w:rFonts w:ascii="Times New Roman" w:hAnsi="Times New Roman" w:cs="Times New Roman"/>
                <w:highlight w:val="white"/>
              </w:rPr>
              <w:t xml:space="preserve">; giúp </w:t>
            </w:r>
            <w:r w:rsidRPr="00BE4250">
              <w:rPr>
                <w:rFonts w:ascii="Times New Roman" w:hAnsi="Times New Roman" w:cs="Times New Roman"/>
                <w:lang w:val="vi-VN"/>
              </w:rPr>
              <w:t>nâng cao tính chủ động, kịp thời trong công tác quản lý, điều hành</w:t>
            </w:r>
            <w:r w:rsidRPr="00BE4250">
              <w:rPr>
                <w:rFonts w:ascii="Times New Roman" w:hAnsi="Times New Roman" w:cs="Times New Roman"/>
                <w:highlight w:val="white"/>
                <w:lang w:val="vi-VN"/>
              </w:rPr>
              <w:t>. Bên cạnh đó, việc phân cấp sẽ góp phần giảm khối lượng công việc trình Hội đồng nhân dân tỉnh xem xét, quyết định từ đó nâng cao hiệu quả giải quyết công việc của các cơ quan nhà nước</w:t>
            </w:r>
            <w:r w:rsidRPr="00BE4250">
              <w:rPr>
                <w:rFonts w:ascii="Times New Roman" w:hAnsi="Times New Roman" w:cs="Times New Roman"/>
                <w:spacing w:val="-4"/>
              </w:rPr>
              <w:t>.</w:t>
            </w:r>
          </w:p>
        </w:tc>
        <w:tc>
          <w:tcPr>
            <w:tcW w:w="986" w:type="dxa"/>
            <w:vAlign w:val="center"/>
          </w:tcPr>
          <w:p w:rsidR="00295362" w:rsidRPr="00BE4250" w:rsidRDefault="00295362" w:rsidP="00AD4FC0">
            <w:pPr>
              <w:jc w:val="center"/>
              <w:rPr>
                <w:rFonts w:ascii="Times New Roman" w:hAnsi="Times New Roman" w:cs="Times New Roman"/>
              </w:rPr>
            </w:pPr>
            <w:r w:rsidRPr="00BE4250">
              <w:rPr>
                <w:rFonts w:ascii="Times New Roman" w:hAnsi="Times New Roman" w:cs="Times New Roman"/>
              </w:rPr>
              <w:t>Lĩnh vực Nông nghiệp và môi trường</w:t>
            </w: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295362" w:rsidRPr="00BE4250" w:rsidRDefault="00757310" w:rsidP="00AD4FC0">
            <w:pPr>
              <w:ind w:firstLine="284"/>
              <w:jc w:val="both"/>
              <w:rPr>
                <w:rFonts w:ascii="Times New Roman" w:hAnsi="Times New Roman" w:cs="Times New Roman"/>
                <w:i/>
                <w:lang w:val="vi-VN"/>
              </w:rPr>
            </w:pPr>
            <w:r>
              <w:rPr>
                <w:rFonts w:ascii="Times New Roman" w:eastAsia="Arial" w:hAnsi="Times New Roman" w:cs="Times New Roman"/>
                <w:spacing w:val="-6"/>
                <w:highlight w:val="white"/>
              </w:rPr>
              <w:t xml:space="preserve">* </w:t>
            </w:r>
            <w:r w:rsidR="00295362" w:rsidRPr="00BE4250">
              <w:rPr>
                <w:rFonts w:ascii="Times New Roman" w:eastAsia="Arial" w:hAnsi="Times New Roman" w:cs="Times New Roman"/>
                <w:spacing w:val="-6"/>
                <w:highlight w:val="white"/>
              </w:rPr>
              <w:t xml:space="preserve">Tại </w:t>
            </w:r>
            <w:r w:rsidR="00295362" w:rsidRPr="00BE4250">
              <w:rPr>
                <w:rFonts w:ascii="Times New Roman" w:hAnsi="Times New Roman" w:cs="Times New Roman"/>
                <w:lang w:val="vi-VN"/>
              </w:rPr>
              <w:t>điểm h khoản 1 Điều 80 Luật Chăn nuôi</w:t>
            </w:r>
            <w:r w:rsidR="00295362" w:rsidRPr="00BE4250">
              <w:rPr>
                <w:rFonts w:ascii="Times New Roman" w:hAnsi="Times New Roman" w:cs="Times New Roman"/>
              </w:rPr>
              <w:t xml:space="preserve"> số 32/2018/QH14</w:t>
            </w:r>
            <w:r w:rsidR="00295362" w:rsidRPr="00BE4250">
              <w:rPr>
                <w:rFonts w:ascii="Times New Roman" w:hAnsi="Times New Roman" w:cs="Times New Roman"/>
                <w:lang w:val="vi-VN"/>
              </w:rPr>
              <w:t>, được sửa đổi bổ sung bởi Luật sửa đổi, bổ sung một số điều của 15 Luật trong lĩnh vực Nông nghiệp và Môi trường</w:t>
            </w:r>
            <w:r w:rsidR="00295362" w:rsidRPr="00BE4250">
              <w:rPr>
                <w:rFonts w:ascii="Times New Roman" w:hAnsi="Times New Roman" w:cs="Times New Roman"/>
                <w:highlight w:val="white"/>
                <w:lang w:val="vi-VN"/>
              </w:rPr>
              <w:t xml:space="preserve"> số 146/2025/QH15 </w:t>
            </w:r>
            <w:r w:rsidR="00295362" w:rsidRPr="00BE4250">
              <w:rPr>
                <w:rFonts w:ascii="Times New Roman" w:hAnsi="Times New Roman" w:cs="Times New Roman"/>
                <w:lang w:val="vi-VN"/>
              </w:rPr>
              <w:t>quy định trách nhiệm của UBND cấp tỉnh</w:t>
            </w:r>
            <w:r w:rsidR="00295362" w:rsidRPr="00BE4250">
              <w:rPr>
                <w:rFonts w:ascii="Times New Roman" w:hAnsi="Times New Roman" w:cs="Times New Roman"/>
                <w:i/>
                <w:lang w:val="vi-VN"/>
              </w:rPr>
              <w:t xml:space="preserve"> “h) Trình Hội đồng nhân dân cấp tỉnh quyết định khu vực không được phép chăn nuôi, quyết định vùng nuôi chim yến và chính sách hỗ trợ khi di dời cơ sở chăn nuôi ra khỏi khu vực không được phép chăn nuôi.”</w:t>
            </w:r>
          </w:p>
          <w:p w:rsidR="00295362" w:rsidRPr="00BE4250" w:rsidRDefault="00295362" w:rsidP="00AD4FC0">
            <w:pPr>
              <w:ind w:firstLine="284"/>
              <w:jc w:val="both"/>
              <w:rPr>
                <w:rFonts w:ascii="Times New Roman" w:eastAsia="Arial" w:hAnsi="Times New Roman" w:cs="Times New Roman"/>
                <w:i/>
                <w:spacing w:val="-6"/>
                <w:highlight w:val="white"/>
              </w:rPr>
            </w:pPr>
          </w:p>
        </w:tc>
        <w:tc>
          <w:tcPr>
            <w:tcW w:w="2410" w:type="dxa"/>
            <w:vAlign w:val="center"/>
          </w:tcPr>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t>Điểm đ khoản 2 Điều 3 dự thảo Nghị quyết quy định:</w:t>
            </w:r>
          </w:p>
          <w:p w:rsidR="00295362" w:rsidRPr="00BE4250" w:rsidRDefault="00295362" w:rsidP="00AD4FC0">
            <w:pPr>
              <w:pStyle w:val="BodyText"/>
              <w:ind w:firstLine="284"/>
              <w:jc w:val="both"/>
              <w:rPr>
                <w:b/>
                <w:i/>
                <w:spacing w:val="-4"/>
                <w:sz w:val="22"/>
                <w:szCs w:val="22"/>
              </w:rPr>
            </w:pPr>
            <w:r w:rsidRPr="00BE4250">
              <w:rPr>
                <w:i/>
                <w:sz w:val="22"/>
                <w:szCs w:val="22"/>
              </w:rPr>
              <w:t xml:space="preserve">“Ủy ban nhân dân tỉnh </w:t>
            </w:r>
            <w:r w:rsidRPr="00BE4250">
              <w:rPr>
                <w:i/>
                <w:spacing w:val="-4"/>
                <w:sz w:val="22"/>
                <w:szCs w:val="22"/>
                <w:lang w:val="vi-VN"/>
              </w:rPr>
              <w:t>Quy định khu vực không được phép hoạt động chăn nuôi và chính sách hỗ trợ khi di dời cơ sở chăn nuôi ra khỏi khu vực không được phép hoạt động chăn nuôi trên địa bàn tỉnh Lai Châu</w:t>
            </w:r>
            <w:r w:rsidRPr="00BE4250">
              <w:rPr>
                <w:i/>
                <w:spacing w:val="-4"/>
                <w:sz w:val="22"/>
                <w:szCs w:val="22"/>
              </w:rPr>
              <w:t>”</w:t>
            </w:r>
          </w:p>
          <w:p w:rsidR="00295362" w:rsidRPr="00BE4250" w:rsidRDefault="00295362" w:rsidP="00AD4FC0">
            <w:pPr>
              <w:ind w:firstLine="284"/>
              <w:jc w:val="both"/>
              <w:rPr>
                <w:rFonts w:ascii="Times New Roman" w:hAnsi="Times New Roman" w:cs="Times New Roman"/>
              </w:rPr>
            </w:pPr>
          </w:p>
          <w:p w:rsidR="00295362" w:rsidRPr="00BE4250" w:rsidRDefault="00295362" w:rsidP="00AD4FC0">
            <w:pPr>
              <w:ind w:firstLine="284"/>
              <w:jc w:val="both"/>
              <w:rPr>
                <w:rFonts w:ascii="Times New Roman" w:hAnsi="Times New Roman" w:cs="Times New Roman"/>
              </w:rPr>
            </w:pP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295362" w:rsidRPr="00BE4250" w:rsidRDefault="00295362" w:rsidP="00AD4FC0">
            <w:pPr>
              <w:ind w:firstLine="284"/>
              <w:jc w:val="both"/>
              <w:rPr>
                <w:rFonts w:ascii="Times New Roman" w:hAnsi="Times New Roman" w:cs="Times New Roman"/>
                <w:lang w:val="vi-VN"/>
              </w:rPr>
            </w:pPr>
            <w:r w:rsidRPr="00BE4250">
              <w:rPr>
                <w:rFonts w:ascii="Times New Roman" w:hAnsi="Times New Roman" w:cs="Times New Roman"/>
                <w:lang w:val="vi-VN"/>
              </w:rPr>
              <w:t>Việc xác định khu vực không được phép hoạt động chăn nuôi phụ thuộc nhiều vào quá trình phát triển đô thị, quy hoạch sử dụng đất, quy hoạch xây dựng, quy hoạch bảo vệ môi trường, tình hình phát triển kinh tế - xã hội và yêu cầu quản lý thực tế của địa phương. Đây là những yếu tố thường xuyên thay đổi theo từng giai đoạn, đòi hỏi phải được rà soát, điều chỉnh kịp thời để phù hợp với yêu cầu quản lý nhà nước và định hướng phát triển của địa phương.</w:t>
            </w:r>
          </w:p>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lang w:val="vi-VN"/>
              </w:rPr>
              <w:t>Thực tế, khi có nhu cầu điều chỉnh khu vực không được phép chăn nuôi hoặc điều chỉnh chính sách hỗ trợ, địa phương đều phải trình Hội đồng nhân dân tỉnh xem xét quyết định theo kỳ họp, làm kéo dài thời gian xử lý, ảnh hưởng đến tiến độ quản lý nhà nước và triển khai các quy hoạch, dự án trên địa bàn.</w:t>
            </w:r>
          </w:p>
          <w:p w:rsidR="00295362" w:rsidRPr="00BE4250" w:rsidRDefault="00295362" w:rsidP="00AD4FC0">
            <w:pPr>
              <w:ind w:firstLine="284"/>
              <w:jc w:val="both"/>
              <w:rPr>
                <w:rFonts w:ascii="Times New Roman" w:hAnsi="Times New Roman" w:cs="Times New Roman"/>
                <w:spacing w:val="-4"/>
              </w:rPr>
            </w:pPr>
            <w:r w:rsidRPr="00BE4250">
              <w:rPr>
                <w:rFonts w:ascii="Times New Roman" w:hAnsi="Times New Roman" w:cs="Times New Roman"/>
                <w:spacing w:val="-4"/>
              </w:rPr>
              <w:t>Mặt khác,</w:t>
            </w:r>
            <w:r w:rsidRPr="00BE4250">
              <w:rPr>
                <w:rFonts w:ascii="Times New Roman" w:hAnsi="Times New Roman" w:cs="Times New Roman"/>
                <w:spacing w:val="-4"/>
                <w:lang w:val="vi-VN"/>
              </w:rPr>
              <w:t xml:space="preserve"> chính sách hỗ trợ di dời cơ sở chăn nuôi ra khỏi khu vực không được phép hoạt động chăn nuôi, áp dụng theo khung chính sách hỗ trợ đã được Chính phủ quy định tại Nghị định số 106/2024/NĐ-CP ngày 01/8/2024 của Chính phủ </w:t>
            </w:r>
            <w:r w:rsidRPr="00BE4250">
              <w:rPr>
                <w:rFonts w:ascii="Times New Roman" w:hAnsi="Times New Roman" w:cs="Times New Roman"/>
                <w:spacing w:val="-4"/>
              </w:rPr>
              <w:t xml:space="preserve">quy định chính </w:t>
            </w:r>
            <w:r w:rsidRPr="00BE4250">
              <w:rPr>
                <w:rFonts w:ascii="Times New Roman" w:hAnsi="Times New Roman" w:cs="Times New Roman"/>
                <w:spacing w:val="-4"/>
              </w:rPr>
              <w:lastRenderedPageBreak/>
              <w:t xml:space="preserve">sách hỗ trợ nâng cao hiệu quả chăn nuôi. Theo đó, tại Điều 7 Nghị định số 106/2024/NĐ-CP </w:t>
            </w:r>
            <w:r w:rsidRPr="00BE4250">
              <w:rPr>
                <w:rFonts w:ascii="Times New Roman" w:hAnsi="Times New Roman" w:cs="Times New Roman"/>
                <w:spacing w:val="-4"/>
                <w:lang w:val="vi-VN"/>
              </w:rPr>
              <w:t>đã quy định cụ thể về đối tượng, điều kiện, nội dung, mức hỗ trợ, trình tự và thủ tục thực hiện, địa phương không đặt ra chính sách mới.</w:t>
            </w:r>
          </w:p>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spacing w:val="-4"/>
                <w:lang w:val="vi-VN"/>
              </w:rPr>
              <w:t>Vì vậy, việc phân cấp cho Ủy ban nhân dân tỉnh chủ yếu là thực hiện thẩm quyền quyết định và tổ chức triển khai trên cơ sở các quy định thống nhất của Trung ương, không làm phát sinh cơ chế, chính sách mới hoặc vượt quá khung pháp lý hiện hành.</w:t>
            </w:r>
            <w:r w:rsidRPr="00BE4250">
              <w:rPr>
                <w:rFonts w:ascii="Times New Roman" w:hAnsi="Times New Roman" w:cs="Times New Roman"/>
                <w:spacing w:val="-4"/>
              </w:rPr>
              <w:t xml:space="preserve"> </w:t>
            </w:r>
            <w:r w:rsidRPr="00BE4250">
              <w:rPr>
                <w:rFonts w:ascii="Times New Roman" w:hAnsi="Times New Roman" w:cs="Times New Roman"/>
              </w:rPr>
              <w:t>Do đó, v</w:t>
            </w:r>
            <w:r w:rsidRPr="00BE4250">
              <w:rPr>
                <w:rFonts w:ascii="Times New Roman" w:hAnsi="Times New Roman" w:cs="Times New Roman"/>
                <w:lang w:val="vi-VN"/>
              </w:rPr>
              <w:t xml:space="preserve">iệc phân cấp </w:t>
            </w:r>
            <w:r w:rsidRPr="00BE4250">
              <w:rPr>
                <w:rFonts w:ascii="Times New Roman" w:hAnsi="Times New Roman" w:cs="Times New Roman"/>
              </w:rPr>
              <w:t xml:space="preserve">nhiệm vụ này </w:t>
            </w:r>
            <w:r w:rsidRPr="00BE4250">
              <w:rPr>
                <w:rFonts w:ascii="Times New Roman" w:hAnsi="Times New Roman" w:cs="Times New Roman"/>
                <w:lang w:val="vi-VN"/>
              </w:rPr>
              <w:t>cho Ủy ban nhân dân tỉnh sẽ góp phần chủ động, kịp thời trong công tác quản lý nhà nước; rút ngắn quy trình ban hành quyết định; bảo đảm phù hợp với yêu cầu điều hành, phát triển kinh tế - xã hội của địa phương.</w:t>
            </w:r>
          </w:p>
        </w:tc>
        <w:tc>
          <w:tcPr>
            <w:tcW w:w="986" w:type="dxa"/>
            <w:vAlign w:val="center"/>
          </w:tcPr>
          <w:p w:rsidR="00295362" w:rsidRPr="00BE4250" w:rsidRDefault="00295362" w:rsidP="00AD4FC0">
            <w:pPr>
              <w:jc w:val="center"/>
              <w:rPr>
                <w:rFonts w:ascii="Times New Roman" w:hAnsi="Times New Roman" w:cs="Times New Roman"/>
              </w:rPr>
            </w:pPr>
            <w:r w:rsidRPr="00BE4250">
              <w:rPr>
                <w:rFonts w:ascii="Times New Roman" w:hAnsi="Times New Roman" w:cs="Times New Roman"/>
              </w:rPr>
              <w:lastRenderedPageBreak/>
              <w:t>Lĩnh vực Nông nghiệp và môi trường</w:t>
            </w: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295362" w:rsidRPr="00BE4250" w:rsidRDefault="00757310" w:rsidP="00AD4FC0">
            <w:pPr>
              <w:ind w:firstLine="284"/>
              <w:jc w:val="both"/>
              <w:rPr>
                <w:rFonts w:ascii="Times New Roman" w:hAnsi="Times New Roman" w:cs="Times New Roman"/>
              </w:rPr>
            </w:pPr>
            <w:r>
              <w:rPr>
                <w:rFonts w:ascii="Times New Roman" w:hAnsi="Times New Roman" w:cs="Times New Roman"/>
              </w:rPr>
              <w:t xml:space="preserve">* </w:t>
            </w:r>
            <w:r w:rsidR="00295362" w:rsidRPr="00BE4250">
              <w:rPr>
                <w:rFonts w:ascii="Times New Roman" w:hAnsi="Times New Roman" w:cs="Times New Roman"/>
              </w:rPr>
              <w:t>Khoản 3 Điều 75 Nghị định số 08/2022/NĐ-CP ngày 10/01/2022 của Chính phủ quy định chi tiết một số điều của Luật Bảo vệ môi trường quy định:</w:t>
            </w:r>
          </w:p>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i/>
              </w:rPr>
              <w:t>"3. Ủy ban nhân dân cấp tỉnh căn cứ kế hoạch đã được Thủ tướng Chính phủ phê duyệt quy định tại khoản 2 Điều này xây dựng, trình Hội đồng nhân dân cấp tỉnh ban hành kế hoạch và tổ chức thực hiện kế hoạch chuyển đổi, loại bỏ phương tiện giao thông sử dụng nhiên liệu hóa thạch, phương tiện giao thông gây ô nhiễm môi trường …..."</w:t>
            </w:r>
          </w:p>
        </w:tc>
        <w:tc>
          <w:tcPr>
            <w:tcW w:w="2410" w:type="dxa"/>
            <w:vAlign w:val="center"/>
          </w:tcPr>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t>Khoản 3 Điều 3 dự thảo Nghị quyết quy định:</w:t>
            </w:r>
          </w:p>
          <w:p w:rsidR="00295362" w:rsidRPr="00BE4250" w:rsidRDefault="00295362" w:rsidP="00AD4FC0">
            <w:pPr>
              <w:ind w:firstLine="284"/>
              <w:jc w:val="both"/>
              <w:rPr>
                <w:rFonts w:ascii="Times New Roman" w:hAnsi="Times New Roman" w:cs="Times New Roman"/>
                <w:i/>
              </w:rPr>
            </w:pPr>
            <w:r w:rsidRPr="00BE4250">
              <w:rPr>
                <w:rFonts w:ascii="Times New Roman" w:hAnsi="Times New Roman" w:cs="Times New Roman"/>
              </w:rPr>
              <w:t>“</w:t>
            </w:r>
            <w:r w:rsidRPr="00BE4250">
              <w:rPr>
                <w:rFonts w:ascii="Times New Roman" w:hAnsi="Times New Roman" w:cs="Times New Roman"/>
                <w:i/>
              </w:rPr>
              <w:t>Ủy ban nhân dân tỉnh ban hành kế hoạch chuyển đổi, loại bỏ phương tiện giao thông sử dụng nhiên liệu hóa thạch, phương tiện giao thông gây ô nhiễm môi trường.</w:t>
            </w:r>
          </w:p>
          <w:p w:rsidR="00295362" w:rsidRPr="00BE4250" w:rsidRDefault="00295362" w:rsidP="00AD4FC0">
            <w:pPr>
              <w:ind w:firstLine="284"/>
              <w:jc w:val="both"/>
              <w:rPr>
                <w:rFonts w:ascii="Times New Roman" w:hAnsi="Times New Roman" w:cs="Times New Roman"/>
              </w:rPr>
            </w:pPr>
          </w:p>
          <w:p w:rsidR="00295362" w:rsidRPr="00BE4250" w:rsidRDefault="00295362" w:rsidP="00AD4FC0">
            <w:pPr>
              <w:ind w:firstLine="284"/>
              <w:jc w:val="both"/>
              <w:rPr>
                <w:rFonts w:ascii="Times New Roman" w:hAnsi="Times New Roman" w:cs="Times New Roman"/>
              </w:rPr>
            </w:pP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295362" w:rsidRPr="00BE4250" w:rsidRDefault="00937149" w:rsidP="00AD4FC0">
            <w:pPr>
              <w:ind w:firstLine="284"/>
              <w:jc w:val="both"/>
              <w:rPr>
                <w:rFonts w:ascii="Times New Roman" w:hAnsi="Times New Roman" w:cs="Times New Roman"/>
              </w:rPr>
            </w:pPr>
            <w:r w:rsidRPr="00BE4250">
              <w:rPr>
                <w:rFonts w:ascii="Times New Roman" w:hAnsi="Times New Roman" w:cs="Times New Roman"/>
              </w:rPr>
              <w:t>Theo Nghị định số 08/2022/NĐ-CP, sau khi Thủ tướng Chính phủ phê duyệt kế hoạch chuyển đổi, loại bỏ phương tiện giao thông sử dụng nhiên liệu hóa thạch, UBND tỉnh có trách nhiệm xây dựng, trình HĐND tỉnh ban hành và trực tiếp tổ chức thực hiện kế hoạch trên địa bàn. Thực tiễn cho thấy, UBND tỉnh là cơ quan thực hiện toàn bộ quy trình từ xây dựng dự thảo, lấy ý kiến, trình ban hành đến tổ chức triển khai, chỉ đạo, kiểm tra và tổng kết thực hiện. Trong quá trình triển khai, kế hoạch có thể phải điều chỉnh, bổ sung để phù hợp với quy định mới của Trung ương và tình hình thực tế của địa phương. Nếu tiếp tục thực hiện theo quy trình trình HĐND tỉnh ban hành sẽ phụ thuộc vào thời gian tổ chức kỳ họp, làm kéo dài thời gian xử lý và ảnh hưởng đến tính kịp thời trong công tác quản lý, điều hành</w:t>
            </w:r>
          </w:p>
          <w:p w:rsidR="00937149" w:rsidRPr="00BE4250" w:rsidRDefault="007C571C" w:rsidP="00AD4FC0">
            <w:pPr>
              <w:ind w:firstLine="284"/>
              <w:jc w:val="both"/>
              <w:rPr>
                <w:rFonts w:ascii="Times New Roman" w:hAnsi="Times New Roman" w:cs="Times New Roman"/>
              </w:rPr>
            </w:pPr>
            <w:r w:rsidRPr="00BE4250">
              <w:rPr>
                <w:rFonts w:ascii="Times New Roman" w:hAnsi="Times New Roman" w:cs="Times New Roman"/>
              </w:rPr>
              <w:t>Việc phân cấp cho UBND tỉnh ban hành kế hoạch là cần thiết nhằm tăng tính chủ động, linh hoạt trong chỉ đạo, điều hành; rút ngắn thời gian ban hành và điều chỉnh kế hoạch; bảo đảm triển khai kịp thời các nhiệm vụ chuyển đổi phương tiện giao thông xanh, phù hợp với yêu cầu bảo vệ môi trường và giảm phát thải khí nhà kính. Việc phân cấp chỉ chuyển thẩm quyền ban hành kế hoạch từ HĐND tỉnh sang UBND tỉnh, không làm thay đổi nội dung quản lý nhà nước hoặc chính sách do pháp luật quy định.</w:t>
            </w:r>
          </w:p>
          <w:p w:rsidR="007C571C" w:rsidRPr="00BE4250" w:rsidRDefault="007C571C" w:rsidP="00AD4FC0">
            <w:pPr>
              <w:ind w:firstLine="284"/>
              <w:jc w:val="both"/>
              <w:rPr>
                <w:rFonts w:ascii="Times New Roman" w:hAnsi="Times New Roman" w:cs="Times New Roman"/>
              </w:rPr>
            </w:pPr>
            <w:r w:rsidRPr="00BE4250">
              <w:rPr>
                <w:rFonts w:ascii="Times New Roman" w:hAnsi="Times New Roman" w:cs="Times New Roman"/>
              </w:rPr>
              <w:t xml:space="preserve">Sau khi được phân cấp, UBND tỉnh có thể chủ động ban hành, điều chỉnh, bổ sung kế hoạch phù hợp với chỉ đạo của Trung ương và tình hình thực tế; rút ngắn quy trình xử lý, bảo </w:t>
            </w:r>
            <w:r w:rsidRPr="00BE4250">
              <w:rPr>
                <w:rFonts w:ascii="Times New Roman" w:hAnsi="Times New Roman" w:cs="Times New Roman"/>
              </w:rPr>
              <w:lastRenderedPageBreak/>
              <w:t>đảm triển khai đúng tiến độ các mục tiêu về bảo vệ môi trường, giảm phát thải khí nhà kính và phát triển giao thông xanh. Đồng thời, việc UBND tỉnh vừa là cơ quan ban hành vừa là cơ quan tổ chức thực hiện giúp bảo đảm sự thống nhất trong quản lý, nâng cao trách nhiệm, kịp thời xử lý khó khăn, vướng mắc, trong khi HĐND tỉnh vẫn thực hiện chức năng giám sát theo quy định của pháp luật.</w:t>
            </w:r>
          </w:p>
        </w:tc>
        <w:tc>
          <w:tcPr>
            <w:tcW w:w="986" w:type="dxa"/>
            <w:vAlign w:val="center"/>
          </w:tcPr>
          <w:p w:rsidR="00295362" w:rsidRPr="00BE4250" w:rsidRDefault="00295362" w:rsidP="00AD4FC0">
            <w:pPr>
              <w:jc w:val="center"/>
              <w:rPr>
                <w:rFonts w:ascii="Times New Roman" w:hAnsi="Times New Roman" w:cs="Times New Roman"/>
              </w:rPr>
            </w:pPr>
            <w:r w:rsidRPr="00BE4250">
              <w:rPr>
                <w:rFonts w:ascii="Times New Roman" w:hAnsi="Times New Roman" w:cs="Times New Roman"/>
              </w:rPr>
              <w:lastRenderedPageBreak/>
              <w:t>Lĩnh vực Xây dựng</w:t>
            </w: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295362" w:rsidRPr="00BE4250" w:rsidRDefault="009B51EE" w:rsidP="00AD4FC0">
            <w:pPr>
              <w:ind w:firstLine="284"/>
              <w:jc w:val="both"/>
              <w:rPr>
                <w:rFonts w:ascii="Times New Roman" w:hAnsi="Times New Roman" w:cs="Times New Roman"/>
                <w:i/>
                <w:shd w:val="clear" w:color="auto" w:fill="FFFFFF"/>
              </w:rPr>
            </w:pPr>
            <w:r>
              <w:rPr>
                <w:rFonts w:ascii="Times New Roman" w:hAnsi="Times New Roman" w:cs="Times New Roman"/>
                <w:i/>
                <w:lang w:val="en-SG"/>
              </w:rPr>
              <w:t xml:space="preserve">* </w:t>
            </w:r>
            <w:r w:rsidR="00295362" w:rsidRPr="00BE4250">
              <w:rPr>
                <w:rFonts w:ascii="Times New Roman" w:hAnsi="Times New Roman" w:cs="Times New Roman"/>
                <w:spacing w:val="-2"/>
                <w:lang w:val="en-SG" w:eastAsia="en-SG"/>
              </w:rPr>
              <w:t xml:space="preserve">Khoản 4 Điều 11 </w:t>
            </w:r>
            <w:r w:rsidR="00295362" w:rsidRPr="00BE4250">
              <w:rPr>
                <w:rFonts w:ascii="Times New Roman" w:hAnsi="Times New Roman" w:cs="Times New Roman"/>
              </w:rPr>
              <w:t xml:space="preserve">Nghị định số 33/2022/NĐ-CP ngày 27/5/2022 của Chính phủ quy định chi tiết một số điều của Pháp lệnh Quản lý thị trường, được sửa đổi bổ sung bởi Nghị định số 241/2025/NĐ-CP </w:t>
            </w:r>
            <w:r w:rsidR="00295362" w:rsidRPr="00BE4250">
              <w:rPr>
                <w:rFonts w:ascii="Times New Roman" w:hAnsi="Times New Roman" w:cs="Times New Roman"/>
                <w:lang w:val="en-SG" w:eastAsia="en-SG"/>
              </w:rPr>
              <w:t xml:space="preserve">quy định: </w:t>
            </w:r>
            <w:r w:rsidR="00295362" w:rsidRPr="00BE4250">
              <w:rPr>
                <w:rFonts w:ascii="Times New Roman" w:hAnsi="Times New Roman" w:cs="Times New Roman"/>
                <w:i/>
                <w:iCs/>
              </w:rPr>
              <w:t>“…</w:t>
            </w:r>
            <w:r w:rsidR="00295362" w:rsidRPr="00BE4250">
              <w:rPr>
                <w:rFonts w:ascii="Times New Roman" w:hAnsi="Times New Roman" w:cs="Times New Roman"/>
                <w:i/>
                <w:iCs/>
                <w:shd w:val="clear" w:color="auto" w:fill="FFFFFF"/>
              </w:rPr>
              <w:t> Hội đồng nhân dân tỉnh, thành phố trực thuộc trung ương quyết định ban hành chế độ mua sắm, thủ tục cấp phát phù hiệu, cờ hiệu, cấp hiệu, biển hiệu và trang phục đối với công chức làm việc tại Chi cục Quản lý thị trường”</w:t>
            </w:r>
            <w:r w:rsidR="00295362" w:rsidRPr="00BE4250">
              <w:rPr>
                <w:rFonts w:ascii="Times New Roman" w:hAnsi="Times New Roman" w:cs="Times New Roman"/>
                <w:i/>
                <w:shd w:val="clear" w:color="auto" w:fill="FFFFFF"/>
              </w:rPr>
              <w:t>.</w:t>
            </w:r>
          </w:p>
        </w:tc>
        <w:tc>
          <w:tcPr>
            <w:tcW w:w="2410" w:type="dxa"/>
            <w:vAlign w:val="center"/>
          </w:tcPr>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t>Khoản 4 Điều 3 dự thảo Nghị quyết quy định:</w:t>
            </w:r>
          </w:p>
          <w:p w:rsidR="00295362" w:rsidRPr="009B51EE" w:rsidRDefault="00295362" w:rsidP="00AD4FC0">
            <w:pPr>
              <w:ind w:firstLine="284"/>
              <w:jc w:val="both"/>
              <w:rPr>
                <w:rFonts w:ascii="Times New Roman" w:eastAsia="Times New Roman" w:hAnsi="Times New Roman" w:cs="Times New Roman"/>
                <w:i/>
              </w:rPr>
            </w:pPr>
            <w:r w:rsidRPr="009B51EE">
              <w:rPr>
                <w:rFonts w:ascii="Times New Roman" w:eastAsia="Times New Roman" w:hAnsi="Times New Roman" w:cs="Times New Roman"/>
                <w:i/>
              </w:rPr>
              <w:t>“Ủy ban nhân dân tỉnh q</w:t>
            </w:r>
            <w:r w:rsidRPr="009B51EE">
              <w:rPr>
                <w:rFonts w:ascii="Times New Roman" w:hAnsi="Times New Roman" w:cs="Times New Roman"/>
                <w:i/>
              </w:rPr>
              <w:t>uy định chế độ mua sắm, thủ tục cấp phát phù hiệu, cờ hiệu, cấp hiệu, biển hiệu và trang phục đối với công chức làm việc tại Chi cục Quản lý thị trường thuộc Sở Công Thương tỉnh Lai Châu.”</w:t>
            </w:r>
          </w:p>
          <w:p w:rsidR="00295362" w:rsidRPr="00BE4250" w:rsidRDefault="00295362" w:rsidP="00AD4FC0">
            <w:pPr>
              <w:ind w:firstLine="284"/>
              <w:jc w:val="both"/>
              <w:rPr>
                <w:rFonts w:ascii="Times New Roman" w:hAnsi="Times New Roman" w:cs="Times New Roman"/>
              </w:rPr>
            </w:pPr>
          </w:p>
        </w:tc>
        <w:tc>
          <w:tcPr>
            <w:tcW w:w="908" w:type="dxa"/>
            <w:vAlign w:val="center"/>
          </w:tcPr>
          <w:p w:rsidR="00295362" w:rsidRPr="00BE4250" w:rsidRDefault="00295362" w:rsidP="00AD4FC0">
            <w:pPr>
              <w:jc w:val="both"/>
              <w:rPr>
                <w:rFonts w:ascii="Times New Roman" w:hAnsi="Times New Roman" w:cs="Times New Roman"/>
              </w:rPr>
            </w:pPr>
            <w:r w:rsidRPr="00BE4250">
              <w:rPr>
                <w:rFonts w:ascii="Times New Roman" w:hAnsi="Times New Roman" w:cs="Times New Roman"/>
              </w:rPr>
              <w:t>Ủy ban nhân dân tỉnh</w:t>
            </w:r>
          </w:p>
        </w:tc>
        <w:tc>
          <w:tcPr>
            <w:tcW w:w="5895" w:type="dxa"/>
            <w:vAlign w:val="center"/>
          </w:tcPr>
          <w:p w:rsidR="00295362" w:rsidRPr="00BE4250" w:rsidRDefault="00B914F0" w:rsidP="00AD4FC0">
            <w:pPr>
              <w:ind w:firstLine="284"/>
              <w:jc w:val="both"/>
              <w:rPr>
                <w:rFonts w:ascii="Times New Roman" w:hAnsi="Times New Roman" w:cs="Times New Roman"/>
              </w:rPr>
            </w:pPr>
            <w:r w:rsidRPr="00BE4250">
              <w:rPr>
                <w:rFonts w:ascii="Times New Roman" w:hAnsi="Times New Roman" w:cs="Times New Roman"/>
              </w:rPr>
              <w:t>Thực hiện chủ trương của Chính phủ về sắp xếp tổ chức bộ máy, chức năng quản lý thị trường đã được chuyển giao từ Bộ Công Thương về địa phương và tỉnh Lai Châu đã thành lập Chi cục Quản lý thị trường thuộc Sở Công Thương. Việc chuyển đổi mô hình tổ chức đặt ra yêu cầu phải sớm ban hành quy định về chế độ mua sắm, thủ tục cấp phát phù hiệu, cờ hiệu, cấp hiệu, biển hiệu và trang phục để bảo đảm điều kiện thực thi công vụ cho lực lượng Quản lý thị trường. Trong khi trước đây việc mua sắm, cấp phát được thực hiện tập trung ở Trung ương, hiện nay địa phương phải chủ động thực hiện nhưng theo quy định vẫn thuộc thẩm quyền quyết định của Hội đồng nhân dân tỉnh. Nếu phải chờ kỳ họp Hội đồng nhân dân hoặc thực hiện đầy đủ quy trình ban hành nghị quyết sẽ kéo dài thời gian, ảnh hưởng đến hoạt động của Chi cục Quản lý thị trường và tiến độ triển khai nhiệm vụ.</w:t>
            </w:r>
          </w:p>
          <w:p w:rsidR="00B914F0" w:rsidRPr="00BE4250" w:rsidRDefault="00BE4250" w:rsidP="00AD4FC0">
            <w:pPr>
              <w:ind w:firstLine="284"/>
              <w:jc w:val="both"/>
              <w:rPr>
                <w:rFonts w:ascii="Times New Roman" w:hAnsi="Times New Roman" w:cs="Times New Roman"/>
              </w:rPr>
            </w:pPr>
            <w:r w:rsidRPr="00BE4250">
              <w:rPr>
                <w:rFonts w:ascii="Times New Roman" w:hAnsi="Times New Roman" w:cs="Times New Roman"/>
              </w:rPr>
              <w:t>Việc phân cấp cho Ủy ban nhân dân tỉnh là cần thiết nhằm bảo đảm kịp thời ban hành quy định để phục vụ hoạt động của lực lượng Quản lý thị trường, phù hợp với chủ trương đẩy mạnh phân cấp, phân quyền và yêu cầu cải cách thủ tục hành chính. Nội dung được phân cấp chỉ là quy định chế độ mua sắm, thủ tục cấp phát trong phạm vi tiêu chuẩn, định mức đã được Chính phủ quy định, không làm phát sinh chính sách mới hoặc vượt khả năng cân đối ngân sách địa phương.</w:t>
            </w:r>
          </w:p>
          <w:p w:rsidR="00BE4250" w:rsidRPr="00BE4250" w:rsidRDefault="00BE4250" w:rsidP="00AD4FC0">
            <w:pPr>
              <w:ind w:firstLine="284"/>
              <w:jc w:val="both"/>
              <w:rPr>
                <w:rFonts w:ascii="Times New Roman" w:hAnsi="Times New Roman" w:cs="Times New Roman"/>
              </w:rPr>
            </w:pPr>
            <w:r w:rsidRPr="00BE4250">
              <w:rPr>
                <w:rFonts w:ascii="Times New Roman" w:hAnsi="Times New Roman" w:cs="Times New Roman"/>
              </w:rPr>
              <w:t xml:space="preserve">Sau khi được phân cấp, Ủy ban nhân dân tỉnh có thể chủ động, kịp thời ban hành và điều chỉnh quy định phù hợp với yêu cầu thực tiễn, rút ngắn thời gian xử lý, bảo đảm việc mua sắm, cấp phát trang phục và các dấu hiệu nhận diện cho công chức Quản lý thị trường được thực hiện liên tục, thống nhất và đúng quy định. Đồng thời, việc phân cấp góp phần nâng cao hiệu lực, hiệu quả quản lý nhà nước, bảo đảm hoạt động của Chi cục Quản lý thị trường sau khi chuyển giao về địa phương, trong khi </w:t>
            </w:r>
            <w:r w:rsidRPr="00BE4250">
              <w:rPr>
                <w:rFonts w:ascii="Times New Roman" w:hAnsi="Times New Roman" w:cs="Times New Roman"/>
              </w:rPr>
              <w:lastRenderedPageBreak/>
              <w:t>Hội đồng nhân dân tỉnh vẫn thực hiện chức năng giám sát việc thực hiện theo quy định của pháp luật.</w:t>
            </w:r>
          </w:p>
        </w:tc>
        <w:tc>
          <w:tcPr>
            <w:tcW w:w="986" w:type="dxa"/>
            <w:vAlign w:val="center"/>
          </w:tcPr>
          <w:p w:rsidR="00295362" w:rsidRPr="00BE4250" w:rsidRDefault="00295362" w:rsidP="00AD4FC0">
            <w:pPr>
              <w:ind w:firstLine="340"/>
              <w:jc w:val="center"/>
              <w:rPr>
                <w:rFonts w:ascii="Times New Roman" w:hAnsi="Times New Roman" w:cs="Times New Roman"/>
              </w:rPr>
            </w:pPr>
          </w:p>
          <w:p w:rsidR="00295362" w:rsidRPr="00BE4250" w:rsidRDefault="00295362" w:rsidP="00AD4FC0">
            <w:pPr>
              <w:jc w:val="center"/>
              <w:rPr>
                <w:rFonts w:ascii="Times New Roman" w:hAnsi="Times New Roman" w:cs="Times New Roman"/>
              </w:rPr>
            </w:pPr>
            <w:r w:rsidRPr="00BE4250">
              <w:rPr>
                <w:rFonts w:ascii="Times New Roman" w:hAnsi="Times New Roman" w:cs="Times New Roman"/>
              </w:rPr>
              <w:t>Lĩnh vực công thương</w:t>
            </w: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295362" w:rsidRPr="00BE4250" w:rsidRDefault="00295362" w:rsidP="00AD4FC0">
            <w:pPr>
              <w:ind w:firstLine="284"/>
              <w:jc w:val="both"/>
              <w:rPr>
                <w:rFonts w:ascii="Times New Roman" w:eastAsia="Times New Roman" w:hAnsi="Times New Roman" w:cs="Times New Roman"/>
              </w:rPr>
            </w:pPr>
          </w:p>
          <w:p w:rsidR="00295362" w:rsidRPr="00BE4250" w:rsidRDefault="009B51EE" w:rsidP="00AD4FC0">
            <w:pPr>
              <w:ind w:firstLine="284"/>
              <w:jc w:val="both"/>
              <w:rPr>
                <w:rFonts w:ascii="Times New Roman" w:eastAsia="Times New Roman" w:hAnsi="Times New Roman" w:cs="Times New Roman"/>
              </w:rPr>
            </w:pPr>
            <w:r>
              <w:rPr>
                <w:rFonts w:ascii="Times New Roman" w:eastAsia="Times New Roman" w:hAnsi="Times New Roman" w:cs="Times New Roman"/>
              </w:rPr>
              <w:t xml:space="preserve">* </w:t>
            </w:r>
            <w:r w:rsidR="00295362" w:rsidRPr="00BE4250">
              <w:rPr>
                <w:rFonts w:ascii="Times New Roman" w:eastAsia="Times New Roman" w:hAnsi="Times New Roman" w:cs="Times New Roman"/>
              </w:rPr>
              <w:t>Khoản 6 Điều 110 Luật khám bệnh, chữa bệnh năm 2023 quy định: “</w:t>
            </w:r>
            <w:r w:rsidR="00295362" w:rsidRPr="00BE4250">
              <w:rPr>
                <w:rFonts w:ascii="Times New Roman" w:eastAsia="Times New Roman" w:hAnsi="Times New Roman" w:cs="Times New Roman"/>
                <w:i/>
              </w:rPr>
              <w:t>Hội đồng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w:t>
            </w:r>
          </w:p>
        </w:tc>
        <w:tc>
          <w:tcPr>
            <w:tcW w:w="2410" w:type="dxa"/>
            <w:vAlign w:val="center"/>
          </w:tcPr>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t>Khoản 5 Điều 3 dự thảo Nghị quyết quy định:</w:t>
            </w:r>
          </w:p>
          <w:p w:rsidR="00295362" w:rsidRPr="00BE4250" w:rsidRDefault="00295362" w:rsidP="00AD4FC0">
            <w:pPr>
              <w:ind w:firstLine="284"/>
              <w:jc w:val="both"/>
              <w:rPr>
                <w:rFonts w:ascii="Times New Roman" w:hAnsi="Times New Roman" w:cs="Times New Roman"/>
                <w:i/>
                <w:iCs/>
              </w:rPr>
            </w:pPr>
            <w:r w:rsidRPr="00BE4250">
              <w:rPr>
                <w:rFonts w:ascii="Times New Roman" w:hAnsi="Times New Roman" w:cs="Times New Roman"/>
              </w:rPr>
              <w:t>“</w:t>
            </w:r>
            <w:r w:rsidRPr="00BE4250">
              <w:rPr>
                <w:rFonts w:ascii="Times New Roman" w:hAnsi="Times New Roman" w:cs="Times New Roman"/>
                <w:i/>
              </w:rPr>
              <w:t xml:space="preserve">1. </w:t>
            </w:r>
            <w:r w:rsidRPr="00BE4250">
              <w:rPr>
                <w:rFonts w:ascii="Times New Roman" w:hAnsi="Times New Roman" w:cs="Times New Roman"/>
                <w:i/>
                <w:iCs/>
              </w:rPr>
              <w:t>Lĩnh vực y tế</w:t>
            </w:r>
          </w:p>
          <w:p w:rsidR="00295362" w:rsidRPr="00BE4250" w:rsidRDefault="00295362" w:rsidP="00AD4FC0">
            <w:pPr>
              <w:ind w:firstLine="284"/>
              <w:jc w:val="both"/>
              <w:rPr>
                <w:rFonts w:ascii="Times New Roman" w:eastAsia="Times New Roman" w:hAnsi="Times New Roman" w:cs="Times New Roman"/>
                <w:i/>
                <w:spacing w:val="-8"/>
              </w:rPr>
            </w:pPr>
            <w:r w:rsidRPr="00BE4250">
              <w:rPr>
                <w:rFonts w:ascii="Times New Roman" w:hAnsi="Times New Roman" w:cs="Times New Roman"/>
                <w:bCs/>
                <w:i/>
                <w:spacing w:val="-6"/>
              </w:rPr>
              <w:t xml:space="preserve">a) </w:t>
            </w:r>
            <w:r w:rsidRPr="00BE4250">
              <w:rPr>
                <w:rFonts w:ascii="Times New Roman" w:eastAsia="Times New Roman" w:hAnsi="Times New Roman" w:cs="Times New Roman"/>
                <w:i/>
                <w:spacing w:val="-8"/>
              </w:rPr>
              <w:t>Ủy ban nhân dân tỉnh quy định giá dịch vụ khám bệnh, chữa bệnh tại các cơ sở khám bệnh, chữa bệnh của Nhà nước thuộc phạm vi quản lý của tỉnh Lai Châu.</w:t>
            </w:r>
          </w:p>
          <w:p w:rsidR="00295362" w:rsidRPr="009B51EE" w:rsidRDefault="00295362" w:rsidP="00AD4FC0">
            <w:pPr>
              <w:ind w:firstLine="284"/>
              <w:jc w:val="both"/>
              <w:rPr>
                <w:rFonts w:ascii="Times New Roman Italic" w:eastAsia="Times New Roman" w:hAnsi="Times New Roman Italic" w:cs="Times New Roman"/>
              </w:rPr>
            </w:pPr>
            <w:r w:rsidRPr="009B51EE">
              <w:rPr>
                <w:rFonts w:ascii="Times New Roman Italic" w:eastAsia="Times New Roman" w:hAnsi="Times New Roman Italic" w:cs="Times New Roman"/>
                <w:i/>
              </w:rPr>
              <w:t>b) Giá dịch vụ khám bệnh, chữa bệnh tại các cơ sở khám bệnh, chữa bệnh của Nhà nước thuộc tỉnh Lai Châu quản lý ban hành tại Nghị quyết số 84/NQ-HĐND tỉnh ngày 09/12/2024 của Hội đồng nhân dân tỉnh Lai Châu được tiếp tục áp dụng cho đến khi có Quyết định của Ủy ban nhân dân tỉnh Lai Châu ban hành theo quy định tại điểm a khoản này.</w:t>
            </w:r>
          </w:p>
        </w:tc>
        <w:tc>
          <w:tcPr>
            <w:tcW w:w="908" w:type="dxa"/>
            <w:vAlign w:val="center"/>
          </w:tcPr>
          <w:p w:rsidR="00295362" w:rsidRPr="00BE4250" w:rsidRDefault="00295362" w:rsidP="00AD4FC0">
            <w:pPr>
              <w:jc w:val="both"/>
              <w:rPr>
                <w:rFonts w:ascii="Times New Roman" w:eastAsia="Times New Roman" w:hAnsi="Times New Roman" w:cs="Times New Roman"/>
              </w:rPr>
            </w:pPr>
            <w:r w:rsidRPr="00BE4250">
              <w:rPr>
                <w:rFonts w:ascii="Times New Roman" w:eastAsia="Times New Roman" w:hAnsi="Times New Roman" w:cs="Times New Roman"/>
              </w:rPr>
              <w:t>Ủy ban nhân dân tỉnh</w:t>
            </w:r>
          </w:p>
        </w:tc>
        <w:tc>
          <w:tcPr>
            <w:tcW w:w="5895" w:type="dxa"/>
            <w:vAlign w:val="center"/>
          </w:tcPr>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t>Hiện nay giá dịch vụ khám bệnh, chữa bệnh của tỉnh đang thực hiện theo Nghị quyết số 84/NQ-HĐND ngày 09/12/2024 của Hội đồng nhân dân tỉnh Lai Châu quy định giá dịch vụ khám bệnh, chữa bệnh tại các cơ sở khám bệnh, chữa bệnh của Nhà nước thuộc tỉnh Lai Châu quản lý;</w:t>
            </w:r>
          </w:p>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t>Tại khoản 1 Điều 24 Luật Giá số 16/2023/QH15 ngày 19/6/2023 quy định “Văn bản định giá hoặc điều chỉnh mức giá do cơ quan nhà nước có thẩm quyền định giá ban hành là văn bản hành chính”. Hiện tại giá dịch khám bệnh, chữa bệnh tại các cơ sở y tế công lập trực thuộc Bộ Y tế đều được Bộ Y tế phê duyệt theo văn bản hành chính, đồng thời Nghị quyết số 84/NQ-HĐND ngày 09/12/2024 của Hội đồng nhân dân tỉnh Lai Châu quy định giá dịch vụ khám bệnh, chữa bệnh tại các cơ sở khám bệnh, chữa bệnh của Nhà nước thuộc tỉnh Lai Châu quản lý cũng là nghị quyết hành chính.</w:t>
            </w:r>
          </w:p>
          <w:p w:rsidR="00295362" w:rsidRPr="00BE4250" w:rsidRDefault="00295362" w:rsidP="00AD4FC0">
            <w:pPr>
              <w:ind w:firstLine="284"/>
              <w:jc w:val="both"/>
              <w:rPr>
                <w:rFonts w:ascii="Times New Roman" w:eastAsia="Times New Roman" w:hAnsi="Times New Roman" w:cs="Times New Roman"/>
              </w:rPr>
            </w:pPr>
            <w:r w:rsidRPr="00BE4250">
              <w:rPr>
                <w:rFonts w:ascii="Times New Roman" w:hAnsi="Times New Roman" w:cs="Times New Roman"/>
              </w:rPr>
              <w:t xml:space="preserve">Trước thực trạng hiện nay, cấu thành giá dịch vụ khám bệnh, chữa bệnh bao gồm chi phí trực tiếp, chi phí tiền lương, nhân công, chi phí quản lý và chi phí khấu hao tài sản chưa được tính đẩy đủ </w:t>
            </w:r>
            <w:r w:rsidRPr="00BE4250">
              <w:rPr>
                <w:rFonts w:ascii="Times New Roman" w:hAnsi="Times New Roman" w:cs="Times New Roman"/>
                <w:i/>
              </w:rPr>
              <w:t>(Giá dịch vụ khám chữa bệnh hiện nay chưa có chi phí quản lý và chi phí khấu hao tài sản, các chi phí tiền lương cũng chưa được tính đẩy đủ theo mức lương hiện tại).</w:t>
            </w:r>
            <w:r w:rsidRPr="00BE4250">
              <w:rPr>
                <w:rFonts w:ascii="Times New Roman" w:hAnsi="Times New Roman" w:cs="Times New Roman"/>
              </w:rPr>
              <w:t xml:space="preserve"> Đồng thời các chi phí trực tiếp (thuốc, vật tư y tế, máu, dịch truyền; chi phí điện, nước, nhiên liệu...) trên thị trường biến động không ngừng, các chính sách về tiền lương (bao gồm lương, phụ cấp, các khoản đóng góp theo lương) có nhiều thay đổi. Do đó, việc phê duyệt giá dịch vụ khám bệnh, chữa bệnh trên địa bàn luôn có sự điều chỉnh khi có văn bản chỉ đạo của Chính phủ và các cấp Bộ, Ngành Trung ương hoặc khi thi trường có sự biến động mạnh về giá. Vì vậy, để việc điều hành quản lý giá dịch vụ khám bệnh, chữa bệnh sát với điều kiện kinh tế - xã hội, khả năng chi trả của người dân và đặc thù chi phí thực tế tại tỉnh theo thời điểm thực tế, việc HĐND tỉnh phân cấp nhiệm vụ này cho UBND tỉnh quy định giá dịch vụ khám bệnh, chữa bệnh tại các cơ sở khám bệnh, chữa bệnh của Nhà nước trên địa bàn là rất cần thiết.</w:t>
            </w:r>
          </w:p>
        </w:tc>
        <w:tc>
          <w:tcPr>
            <w:tcW w:w="986" w:type="dxa"/>
            <w:vAlign w:val="center"/>
          </w:tcPr>
          <w:p w:rsidR="00295362" w:rsidRPr="00BE4250" w:rsidRDefault="00295362" w:rsidP="00AD4FC0">
            <w:pPr>
              <w:jc w:val="center"/>
              <w:rPr>
                <w:rFonts w:ascii="Times New Roman" w:eastAsia="Times New Roman" w:hAnsi="Times New Roman" w:cs="Times New Roman"/>
              </w:rPr>
            </w:pPr>
            <w:r w:rsidRPr="00BE4250">
              <w:rPr>
                <w:rFonts w:ascii="Times New Roman" w:eastAsia="Times New Roman" w:hAnsi="Times New Roman" w:cs="Times New Roman"/>
              </w:rPr>
              <w:t>Lĩnh vực Y tế</w:t>
            </w:r>
          </w:p>
        </w:tc>
      </w:tr>
      <w:tr w:rsidR="00BE4250" w:rsidRPr="00BE4250" w:rsidTr="00B82B37">
        <w:tc>
          <w:tcPr>
            <w:tcW w:w="675" w:type="dxa"/>
            <w:vAlign w:val="center"/>
          </w:tcPr>
          <w:p w:rsidR="00295362" w:rsidRPr="00BE4250" w:rsidRDefault="00295362" w:rsidP="00AD4FC0">
            <w:pPr>
              <w:pStyle w:val="ListParagraph"/>
              <w:numPr>
                <w:ilvl w:val="0"/>
                <w:numId w:val="2"/>
              </w:numPr>
              <w:ind w:left="142" w:firstLine="0"/>
              <w:jc w:val="center"/>
              <w:rPr>
                <w:rFonts w:ascii="Times New Roman" w:hAnsi="Times New Roman" w:cs="Times New Roman"/>
              </w:rPr>
            </w:pPr>
          </w:p>
        </w:tc>
        <w:tc>
          <w:tcPr>
            <w:tcW w:w="3402" w:type="dxa"/>
            <w:vAlign w:val="center"/>
          </w:tcPr>
          <w:p w:rsidR="00295362" w:rsidRPr="00BE4250" w:rsidRDefault="009B51EE" w:rsidP="00AD4FC0">
            <w:pPr>
              <w:ind w:firstLine="284"/>
              <w:jc w:val="both"/>
              <w:rPr>
                <w:rFonts w:ascii="Times New Roman" w:hAnsi="Times New Roman" w:cs="Times New Roman"/>
              </w:rPr>
            </w:pPr>
            <w:r>
              <w:rPr>
                <w:rFonts w:ascii="Times New Roman" w:hAnsi="Times New Roman" w:cs="Times New Roman"/>
              </w:rPr>
              <w:t xml:space="preserve">* </w:t>
            </w:r>
            <w:r w:rsidR="00295362" w:rsidRPr="00BE4250">
              <w:rPr>
                <w:rFonts w:ascii="Times New Roman" w:hAnsi="Times New Roman" w:cs="Times New Roman"/>
              </w:rPr>
              <w:t xml:space="preserve">Các điểm a, b khoản 1 và điểm </w:t>
            </w:r>
            <w:r w:rsidR="00295362" w:rsidRPr="00BE4250">
              <w:rPr>
                <w:rFonts w:ascii="Times New Roman" w:hAnsi="Times New Roman" w:cs="Times New Roman"/>
              </w:rPr>
              <w:lastRenderedPageBreak/>
              <w:t>a khoản 2 Điều 7 Nghị định số 66/2026/NĐ-CP ngày 02/3/2026 của Chính phủ quy định chi tiết một số điều của Luật Giáo dục, quy định:</w:t>
            </w:r>
          </w:p>
          <w:p w:rsidR="00295362" w:rsidRPr="00BE4250" w:rsidRDefault="00295362" w:rsidP="00AD4FC0">
            <w:pPr>
              <w:pStyle w:val="NormalWeb"/>
              <w:spacing w:before="0" w:beforeAutospacing="0" w:after="0" w:afterAutospacing="0"/>
              <w:ind w:firstLine="284"/>
              <w:jc w:val="both"/>
              <w:rPr>
                <w:i/>
                <w:sz w:val="22"/>
                <w:szCs w:val="22"/>
              </w:rPr>
            </w:pPr>
            <w:r w:rsidRPr="00BE4250">
              <w:rPr>
                <w:i/>
                <w:sz w:val="22"/>
                <w:szCs w:val="22"/>
              </w:rPr>
              <w:t>“1. Đối tượng xét, cấp học bổng khuyến khích học tập:</w:t>
            </w:r>
          </w:p>
          <w:p w:rsidR="00295362" w:rsidRPr="00BE4250" w:rsidRDefault="00295362" w:rsidP="00AD4FC0">
            <w:pPr>
              <w:pStyle w:val="NormalWeb"/>
              <w:spacing w:before="0" w:beforeAutospacing="0" w:after="0" w:afterAutospacing="0"/>
              <w:ind w:firstLine="284"/>
              <w:jc w:val="both"/>
              <w:rPr>
                <w:i/>
                <w:sz w:val="22"/>
                <w:szCs w:val="22"/>
              </w:rPr>
            </w:pPr>
            <w:r w:rsidRPr="00BE4250">
              <w:rPr>
                <w:i/>
                <w:sz w:val="22"/>
                <w:szCs w:val="22"/>
              </w:rPr>
              <w:t>a) Học sinh trường trung học phổ thông chuyên (sau đây gọi chung là trường chuyên), …có kết quả rèn luyện và kết quả học tập đạt mức cao nhất trong các mức đánh giá kết quả rèn luyện, kết quả học tập của học sinh trung học phổ thông thuộc kỳ xét, cấp học bổng và có điểm trung bình môn chuyên của học kỳ xét, cấp từ 8,5 trở lên hoặc đạt một trong các giải từ khuyến khích trở lên trong kỳ thi học sinh giỏi cấp quốc gia …;</w:t>
            </w:r>
          </w:p>
          <w:p w:rsidR="00295362" w:rsidRPr="00BE4250" w:rsidRDefault="00295362" w:rsidP="00AD4FC0">
            <w:pPr>
              <w:pStyle w:val="NormalWeb"/>
              <w:spacing w:before="0" w:beforeAutospacing="0" w:after="0" w:afterAutospacing="0"/>
              <w:ind w:firstLine="284"/>
              <w:jc w:val="both"/>
              <w:rPr>
                <w:i/>
                <w:sz w:val="22"/>
                <w:szCs w:val="22"/>
              </w:rPr>
            </w:pPr>
            <w:r w:rsidRPr="00BE4250">
              <w:rPr>
                <w:i/>
                <w:sz w:val="22"/>
                <w:szCs w:val="22"/>
              </w:rPr>
              <w:t>b) Học sinh các trường năng khiếu có kết quả rèn luyện đạt từ mức Khá trở lên, kết quả học tập từ mức Đạt trở lên và đạt huy chương trong cuộc thi cấp quốc gia ….</w:t>
            </w:r>
          </w:p>
          <w:p w:rsidR="00295362" w:rsidRPr="00BE4250" w:rsidRDefault="00295362" w:rsidP="00AD4FC0">
            <w:pPr>
              <w:ind w:firstLine="284"/>
              <w:jc w:val="both"/>
              <w:rPr>
                <w:rFonts w:ascii="Times New Roman" w:hAnsi="Times New Roman" w:cs="Times New Roman"/>
                <w:i/>
              </w:rPr>
            </w:pPr>
            <w:r w:rsidRPr="00BE4250">
              <w:rPr>
                <w:rFonts w:ascii="Times New Roman" w:hAnsi="Times New Roman" w:cs="Times New Roman"/>
                <w:i/>
              </w:rPr>
              <w:t>2. Mức học bổng đối với đối tượng quy định tại điểm a và điểm b khoản 1 Điều này:</w:t>
            </w:r>
          </w:p>
          <w:p w:rsidR="00295362" w:rsidRPr="00BE4250" w:rsidRDefault="00295362" w:rsidP="00AD4FC0">
            <w:pPr>
              <w:ind w:firstLine="284"/>
              <w:jc w:val="both"/>
              <w:rPr>
                <w:rFonts w:ascii="Times New Roman" w:eastAsia="Times New Roman" w:hAnsi="Times New Roman" w:cs="Times New Roman"/>
                <w:i/>
              </w:rPr>
            </w:pPr>
            <w:r w:rsidRPr="00BE4250">
              <w:rPr>
                <w:rFonts w:ascii="Times New Roman" w:hAnsi="Times New Roman" w:cs="Times New Roman"/>
                <w:i/>
              </w:rPr>
              <w:t>a) Đối với trường chuyên, trường năng khiếu: Mức học bổng cấp cho một học sinh do Hội đồng nhân dân cấp tỉnh quyết định nhưng không thấp hơn ba lần mức học phí làm căn cứ thực hiện miễn học phí đối với trường trung học phổ thông công lập tại địa phương….”</w:t>
            </w:r>
          </w:p>
        </w:tc>
        <w:tc>
          <w:tcPr>
            <w:tcW w:w="2410" w:type="dxa"/>
            <w:vAlign w:val="center"/>
          </w:tcPr>
          <w:p w:rsidR="00295362" w:rsidRPr="00BE4250" w:rsidRDefault="00295362" w:rsidP="00AD4FC0">
            <w:pPr>
              <w:ind w:firstLine="284"/>
              <w:jc w:val="both"/>
              <w:rPr>
                <w:rFonts w:ascii="Times New Roman" w:hAnsi="Times New Roman" w:cs="Times New Roman"/>
              </w:rPr>
            </w:pPr>
          </w:p>
          <w:p w:rsidR="00295362" w:rsidRPr="00BE4250" w:rsidRDefault="00295362" w:rsidP="00AD4FC0">
            <w:pPr>
              <w:ind w:firstLine="284"/>
              <w:jc w:val="both"/>
              <w:rPr>
                <w:rFonts w:ascii="Times New Roman" w:hAnsi="Times New Roman" w:cs="Times New Roman"/>
              </w:rPr>
            </w:pPr>
            <w:r w:rsidRPr="00BE4250">
              <w:rPr>
                <w:rFonts w:ascii="Times New Roman" w:hAnsi="Times New Roman" w:cs="Times New Roman"/>
              </w:rPr>
              <w:lastRenderedPageBreak/>
              <w:t>Khoản 6 Điều 3 dự thảo Nghị quyết quy định:</w:t>
            </w:r>
          </w:p>
          <w:p w:rsidR="00295362" w:rsidRPr="00BE4250" w:rsidRDefault="00295362" w:rsidP="00AD4FC0">
            <w:pPr>
              <w:ind w:firstLine="284"/>
              <w:jc w:val="both"/>
              <w:rPr>
                <w:rFonts w:ascii="Times New Roman" w:eastAsia="Times New Roman" w:hAnsi="Times New Roman" w:cs="Times New Roman"/>
                <w:b/>
                <w:bCs/>
              </w:rPr>
            </w:pPr>
            <w:r w:rsidRPr="00BE4250">
              <w:rPr>
                <w:rFonts w:ascii="Times New Roman" w:hAnsi="Times New Roman" w:cs="Times New Roman"/>
              </w:rPr>
              <w:t>“</w:t>
            </w:r>
            <w:r w:rsidRPr="00BE4250">
              <w:rPr>
                <w:rFonts w:ascii="Times New Roman" w:hAnsi="Times New Roman" w:cs="Times New Roman"/>
                <w:i/>
              </w:rPr>
              <w:t>Ủy ban nhân dân tỉnh quyết định mức học bổng khuyến khích học tập đối với học sinh trường trung học phổ thông chuyên, trường năng khiếu trên địa bàn tỉnh Lai Châu.”</w:t>
            </w:r>
          </w:p>
        </w:tc>
        <w:tc>
          <w:tcPr>
            <w:tcW w:w="908" w:type="dxa"/>
            <w:vAlign w:val="center"/>
          </w:tcPr>
          <w:p w:rsidR="00295362" w:rsidRPr="00BE4250" w:rsidRDefault="00295362" w:rsidP="00AD4FC0">
            <w:pPr>
              <w:jc w:val="both"/>
              <w:rPr>
                <w:rFonts w:ascii="Times New Roman" w:eastAsia="Times New Roman" w:hAnsi="Times New Roman" w:cs="Times New Roman"/>
                <w:b/>
                <w:bCs/>
              </w:rPr>
            </w:pPr>
            <w:r w:rsidRPr="00BE4250">
              <w:rPr>
                <w:rFonts w:ascii="Times New Roman" w:eastAsia="Times New Roman" w:hAnsi="Times New Roman" w:cs="Times New Roman"/>
              </w:rPr>
              <w:lastRenderedPageBreak/>
              <w:t xml:space="preserve">Ủy ban </w:t>
            </w:r>
            <w:r w:rsidRPr="00BE4250">
              <w:rPr>
                <w:rFonts w:ascii="Times New Roman" w:eastAsia="Times New Roman" w:hAnsi="Times New Roman" w:cs="Times New Roman"/>
              </w:rPr>
              <w:lastRenderedPageBreak/>
              <w:t>nhân dân tỉnh</w:t>
            </w:r>
          </w:p>
        </w:tc>
        <w:tc>
          <w:tcPr>
            <w:tcW w:w="5895" w:type="dxa"/>
            <w:vAlign w:val="center"/>
          </w:tcPr>
          <w:p w:rsidR="00295362" w:rsidRPr="00BE4250" w:rsidRDefault="00295362" w:rsidP="00AD4FC0">
            <w:pPr>
              <w:pStyle w:val="pdq2pgselectionanchorcontainer"/>
              <w:spacing w:before="0" w:beforeAutospacing="0" w:after="0" w:afterAutospacing="0"/>
              <w:ind w:firstLine="284"/>
              <w:jc w:val="both"/>
              <w:rPr>
                <w:sz w:val="22"/>
                <w:szCs w:val="22"/>
              </w:rPr>
            </w:pPr>
            <w:r w:rsidRPr="00BE4250">
              <w:rPr>
                <w:sz w:val="22"/>
                <w:szCs w:val="22"/>
              </w:rPr>
              <w:lastRenderedPageBreak/>
              <w:t xml:space="preserve">- Thực tiễn quản lý giáo dục tại địa phương cho thấy: Các </w:t>
            </w:r>
            <w:r w:rsidRPr="00BE4250">
              <w:rPr>
                <w:sz w:val="22"/>
                <w:szCs w:val="22"/>
              </w:rPr>
              <w:lastRenderedPageBreak/>
              <w:t>trường trung học phổ thông chuyên và các trường năng khiếu thuộc phạm vi quản lý của UBND cấp tỉnh. UBND cấp tỉnh nắm rõ: quy mô học sinh; nhu cầu đào tạo nguồn nhân lực chất lượng cao; khả năng cân đối ngân sách địa phương; mục tiêu phát triển giáo dục của địa phương. Do đó, địa phương có đầy đủ thông tin để quyết định mức học bổng phù hợp.</w:t>
            </w:r>
          </w:p>
          <w:p w:rsidR="00295362" w:rsidRPr="00BE4250" w:rsidRDefault="00295362" w:rsidP="00AD4FC0">
            <w:pPr>
              <w:pStyle w:val="pdq2pgselectionanchorcontainer"/>
              <w:spacing w:before="0" w:beforeAutospacing="0" w:after="0" w:afterAutospacing="0"/>
              <w:ind w:firstLine="284"/>
              <w:jc w:val="both"/>
              <w:rPr>
                <w:sz w:val="22"/>
                <w:szCs w:val="22"/>
              </w:rPr>
            </w:pPr>
            <w:r w:rsidRPr="00BE4250">
              <w:rPr>
                <w:sz w:val="22"/>
                <w:szCs w:val="22"/>
              </w:rPr>
              <w:t>- Việc phân cấp cho UBND tỉnh quyết định mức học bổng khuyến khích học tập đối với học sinh trường trung học phổ thông chuyên, trường năng khiếu cũng là phù hợp với chủ trương của Đảng về phân cấp, phân quyền; quy định của Luật Tổ chức chính quyền địa phương, quy định của Luật Giáo dục (không quy định không được phân cấp); tăng tính chủ động, tự chịu trách nhiệm của chính quyền địa phương trong quản lý giáo dục. Việc phân cấp nhiệm vụ này cho UBND tỉnh sẽ giảm bớt thủ tục hành chính nội bộ trong cơ quan nhà nước; tạo điều kiện chủ động điều chỉnh mức học bổng phù hợp với biến động về học phí, chỉ số giá, điều kiện ngân sách; bảo đảm việc hỗ trợ kịp thời, không phải chờ quy trình ban hành nghị quyết của HĐND đối với những trường hợp chỉ cần điều chỉnh mức hỗ trợ; đồng thời nâng cao trách nhiệm của UBND cấp tỉnh trong phát triển giáo dục mũi nhọn và bồi dưỡng nhân tài.</w:t>
            </w:r>
          </w:p>
          <w:p w:rsidR="00295362" w:rsidRPr="00BE4250" w:rsidRDefault="00295362" w:rsidP="00AD4FC0">
            <w:pPr>
              <w:pStyle w:val="pdq2pgselectionanchorcontainer"/>
              <w:spacing w:before="0" w:beforeAutospacing="0" w:after="0" w:afterAutospacing="0"/>
              <w:ind w:firstLine="284"/>
              <w:jc w:val="both"/>
              <w:rPr>
                <w:sz w:val="22"/>
                <w:szCs w:val="22"/>
              </w:rPr>
            </w:pPr>
            <w:r w:rsidRPr="00BE4250">
              <w:rPr>
                <w:sz w:val="22"/>
                <w:szCs w:val="22"/>
              </w:rPr>
              <w:t>- Hiện nay, các địa phương đang thực hiện nhiều nhiệm vụ nhằm nâng cao chất lượng giáo dục, phát triển nguồn nhân lực chất lượng cao và thực hiện các mục tiêu đổi mới giáo dục. Trong khi đó, mức học phí có thể thay đổi theo từng thời kỳ; khả năng cân đối ngân sách địa phương; nhu cầu điều chỉnh mức học bổng phát sinh thường xuyên. Nếu mọi lần điều chỉnh đều phải trình HĐND tỉnh quyết định sẽ kéo dài thời gian, ảnh hưởng đến tiến độ xét, cấp học bổng cho học sinh.</w:t>
            </w:r>
          </w:p>
          <w:p w:rsidR="00295362" w:rsidRPr="00BE4250" w:rsidRDefault="00295362" w:rsidP="00AD4FC0">
            <w:pPr>
              <w:pStyle w:val="pdq2pgselectionanchorcontainer"/>
              <w:spacing w:before="0" w:beforeAutospacing="0" w:after="0" w:afterAutospacing="0"/>
              <w:ind w:firstLine="284"/>
              <w:jc w:val="both"/>
              <w:rPr>
                <w:b/>
                <w:bCs/>
                <w:sz w:val="22"/>
                <w:szCs w:val="22"/>
              </w:rPr>
            </w:pPr>
            <w:r w:rsidRPr="00BE4250">
              <w:rPr>
                <w:sz w:val="22"/>
                <w:szCs w:val="22"/>
              </w:rPr>
              <w:t>- Việc HĐND tỉnh phân cấp nhiệm vụ này cho UBND tỉnh sẽ tạo cơ sở pháp lý để UBND tỉnh chủ động, kịp thời quyết định các nội dung được phân cấp; rút ngắn quy trình xử lý công việc; nâng cao hiệu lực, hiệu quả quản lý nhà nước; tăng tính linh hoạt trong điều hành và tổ chức thực hiện các nhiệm vụ của địa phương. Đồng thời, giúp học bổng được ban hành nhanh hơn, tạo động lực học tập, bồi dưỡng học sinh giỏi; góp phần thu hút học sinh có năng lực vào học tại trường chuyên, trường năng khiếu.</w:t>
            </w:r>
          </w:p>
        </w:tc>
        <w:tc>
          <w:tcPr>
            <w:tcW w:w="986" w:type="dxa"/>
            <w:vAlign w:val="center"/>
          </w:tcPr>
          <w:p w:rsidR="00295362" w:rsidRPr="00BE4250" w:rsidRDefault="00295362" w:rsidP="00AD4FC0">
            <w:pPr>
              <w:jc w:val="center"/>
              <w:rPr>
                <w:rFonts w:ascii="Times New Roman" w:eastAsia="Times New Roman" w:hAnsi="Times New Roman" w:cs="Times New Roman"/>
              </w:rPr>
            </w:pPr>
            <w:r w:rsidRPr="00BE4250">
              <w:rPr>
                <w:rFonts w:ascii="Times New Roman" w:eastAsia="Times New Roman" w:hAnsi="Times New Roman" w:cs="Times New Roman"/>
              </w:rPr>
              <w:lastRenderedPageBreak/>
              <w:t xml:space="preserve">Lĩnh </w:t>
            </w:r>
            <w:r w:rsidRPr="00BE4250">
              <w:rPr>
                <w:rFonts w:ascii="Times New Roman" w:eastAsia="Times New Roman" w:hAnsi="Times New Roman" w:cs="Times New Roman"/>
              </w:rPr>
              <w:lastRenderedPageBreak/>
              <w:t>vực giáo dục và đào tạo</w:t>
            </w:r>
          </w:p>
        </w:tc>
      </w:tr>
    </w:tbl>
    <w:p w:rsidR="00B6189F" w:rsidRPr="00BE4250" w:rsidRDefault="00B6189F"/>
    <w:sectPr w:rsidR="00B6189F" w:rsidRPr="00BE4250" w:rsidSect="00A33E3F">
      <w:pgSz w:w="15840" w:h="12240" w:orient="landscape" w:code="1"/>
      <w:pgMar w:top="567" w:right="567" w:bottom="567" w:left="1134" w:header="578" w:footer="57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977F2"/>
    <w:multiLevelType w:val="hybridMultilevel"/>
    <w:tmpl w:val="C788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8255D9"/>
    <w:multiLevelType w:val="hybridMultilevel"/>
    <w:tmpl w:val="4BBE4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89F"/>
    <w:rsid w:val="00001839"/>
    <w:rsid w:val="00027262"/>
    <w:rsid w:val="00034095"/>
    <w:rsid w:val="00040DF4"/>
    <w:rsid w:val="00051F22"/>
    <w:rsid w:val="000522DD"/>
    <w:rsid w:val="0005576A"/>
    <w:rsid w:val="00055888"/>
    <w:rsid w:val="00063926"/>
    <w:rsid w:val="000647A9"/>
    <w:rsid w:val="00070DDF"/>
    <w:rsid w:val="00083BF6"/>
    <w:rsid w:val="00086B54"/>
    <w:rsid w:val="00093DDD"/>
    <w:rsid w:val="00094695"/>
    <w:rsid w:val="00094BD5"/>
    <w:rsid w:val="0009632B"/>
    <w:rsid w:val="000A04AF"/>
    <w:rsid w:val="000A0943"/>
    <w:rsid w:val="000A556A"/>
    <w:rsid w:val="000B1332"/>
    <w:rsid w:val="000B1D16"/>
    <w:rsid w:val="000B481F"/>
    <w:rsid w:val="000B5468"/>
    <w:rsid w:val="000C2C33"/>
    <w:rsid w:val="000C6736"/>
    <w:rsid w:val="000E24A0"/>
    <w:rsid w:val="000E41EA"/>
    <w:rsid w:val="000E6D8C"/>
    <w:rsid w:val="000F6768"/>
    <w:rsid w:val="000F7371"/>
    <w:rsid w:val="001030BB"/>
    <w:rsid w:val="00115C52"/>
    <w:rsid w:val="001176DF"/>
    <w:rsid w:val="00124B51"/>
    <w:rsid w:val="0013021D"/>
    <w:rsid w:val="001318A6"/>
    <w:rsid w:val="001412A1"/>
    <w:rsid w:val="001438DE"/>
    <w:rsid w:val="00144A92"/>
    <w:rsid w:val="00150933"/>
    <w:rsid w:val="00153523"/>
    <w:rsid w:val="00162A1D"/>
    <w:rsid w:val="00165816"/>
    <w:rsid w:val="00173F6D"/>
    <w:rsid w:val="00177069"/>
    <w:rsid w:val="00197E2D"/>
    <w:rsid w:val="001A6AF4"/>
    <w:rsid w:val="001B5B92"/>
    <w:rsid w:val="001C1974"/>
    <w:rsid w:val="001C2EAC"/>
    <w:rsid w:val="001C3471"/>
    <w:rsid w:val="001D496B"/>
    <w:rsid w:val="001D6A00"/>
    <w:rsid w:val="001E3A09"/>
    <w:rsid w:val="001E4086"/>
    <w:rsid w:val="001E4DCD"/>
    <w:rsid w:val="001E6983"/>
    <w:rsid w:val="001F31C7"/>
    <w:rsid w:val="00202DB9"/>
    <w:rsid w:val="00204DE3"/>
    <w:rsid w:val="00210777"/>
    <w:rsid w:val="00212A78"/>
    <w:rsid w:val="0022603D"/>
    <w:rsid w:val="0023144F"/>
    <w:rsid w:val="0023162D"/>
    <w:rsid w:val="002371E8"/>
    <w:rsid w:val="0024569B"/>
    <w:rsid w:val="00245B74"/>
    <w:rsid w:val="00253F91"/>
    <w:rsid w:val="00265CC2"/>
    <w:rsid w:val="002673FF"/>
    <w:rsid w:val="00283C8D"/>
    <w:rsid w:val="002848CC"/>
    <w:rsid w:val="00287BA8"/>
    <w:rsid w:val="00290679"/>
    <w:rsid w:val="00295362"/>
    <w:rsid w:val="002A4AC5"/>
    <w:rsid w:val="002A6888"/>
    <w:rsid w:val="002B2B08"/>
    <w:rsid w:val="002B32C5"/>
    <w:rsid w:val="002D3542"/>
    <w:rsid w:val="002E1EA3"/>
    <w:rsid w:val="002F11C3"/>
    <w:rsid w:val="002F4128"/>
    <w:rsid w:val="003003EC"/>
    <w:rsid w:val="00307B06"/>
    <w:rsid w:val="003177A5"/>
    <w:rsid w:val="00327F82"/>
    <w:rsid w:val="00332896"/>
    <w:rsid w:val="003342A3"/>
    <w:rsid w:val="00344F08"/>
    <w:rsid w:val="00352B27"/>
    <w:rsid w:val="003578DF"/>
    <w:rsid w:val="00362D61"/>
    <w:rsid w:val="00370F92"/>
    <w:rsid w:val="003772BF"/>
    <w:rsid w:val="003850E9"/>
    <w:rsid w:val="003873B6"/>
    <w:rsid w:val="0039080F"/>
    <w:rsid w:val="0039100E"/>
    <w:rsid w:val="00393123"/>
    <w:rsid w:val="00394FD2"/>
    <w:rsid w:val="00395A11"/>
    <w:rsid w:val="003B4DB0"/>
    <w:rsid w:val="003B60BD"/>
    <w:rsid w:val="003C2500"/>
    <w:rsid w:val="003C2B91"/>
    <w:rsid w:val="003C5681"/>
    <w:rsid w:val="003C6333"/>
    <w:rsid w:val="003D19CB"/>
    <w:rsid w:val="003D64E4"/>
    <w:rsid w:val="003E2F77"/>
    <w:rsid w:val="003E4979"/>
    <w:rsid w:val="003F12B9"/>
    <w:rsid w:val="003F375E"/>
    <w:rsid w:val="003F45CE"/>
    <w:rsid w:val="003F4995"/>
    <w:rsid w:val="004003B9"/>
    <w:rsid w:val="004009F7"/>
    <w:rsid w:val="00400EBF"/>
    <w:rsid w:val="0040385C"/>
    <w:rsid w:val="00405DBA"/>
    <w:rsid w:val="0040718B"/>
    <w:rsid w:val="00410B4E"/>
    <w:rsid w:val="004127FF"/>
    <w:rsid w:val="004158E8"/>
    <w:rsid w:val="00417D4D"/>
    <w:rsid w:val="00423DE8"/>
    <w:rsid w:val="00433533"/>
    <w:rsid w:val="00435799"/>
    <w:rsid w:val="00436781"/>
    <w:rsid w:val="00437FF1"/>
    <w:rsid w:val="00450B46"/>
    <w:rsid w:val="00452500"/>
    <w:rsid w:val="004625DE"/>
    <w:rsid w:val="00474CED"/>
    <w:rsid w:val="004827F3"/>
    <w:rsid w:val="004928B9"/>
    <w:rsid w:val="00493503"/>
    <w:rsid w:val="004A0D65"/>
    <w:rsid w:val="004B6A8E"/>
    <w:rsid w:val="004C6DFA"/>
    <w:rsid w:val="004D5629"/>
    <w:rsid w:val="004E0FA6"/>
    <w:rsid w:val="004E1600"/>
    <w:rsid w:val="004E4174"/>
    <w:rsid w:val="004E6BBE"/>
    <w:rsid w:val="00500002"/>
    <w:rsid w:val="00503BB2"/>
    <w:rsid w:val="00510106"/>
    <w:rsid w:val="00524A5A"/>
    <w:rsid w:val="00533744"/>
    <w:rsid w:val="005357BA"/>
    <w:rsid w:val="0054284D"/>
    <w:rsid w:val="00545211"/>
    <w:rsid w:val="005459A5"/>
    <w:rsid w:val="005466CC"/>
    <w:rsid w:val="005531BB"/>
    <w:rsid w:val="00567F80"/>
    <w:rsid w:val="0057704E"/>
    <w:rsid w:val="00577296"/>
    <w:rsid w:val="00586930"/>
    <w:rsid w:val="00587D53"/>
    <w:rsid w:val="00590EB4"/>
    <w:rsid w:val="00593E29"/>
    <w:rsid w:val="005945F5"/>
    <w:rsid w:val="0059553F"/>
    <w:rsid w:val="005A48F8"/>
    <w:rsid w:val="005A7210"/>
    <w:rsid w:val="005B5764"/>
    <w:rsid w:val="005C052B"/>
    <w:rsid w:val="005C3C86"/>
    <w:rsid w:val="005D6E02"/>
    <w:rsid w:val="005F123E"/>
    <w:rsid w:val="005F2953"/>
    <w:rsid w:val="005F2FBB"/>
    <w:rsid w:val="005F7EFE"/>
    <w:rsid w:val="006052A4"/>
    <w:rsid w:val="00605FC1"/>
    <w:rsid w:val="0060799B"/>
    <w:rsid w:val="0061496E"/>
    <w:rsid w:val="0063352A"/>
    <w:rsid w:val="00642C07"/>
    <w:rsid w:val="00645A72"/>
    <w:rsid w:val="00652344"/>
    <w:rsid w:val="00665164"/>
    <w:rsid w:val="006716D8"/>
    <w:rsid w:val="006717E8"/>
    <w:rsid w:val="00672196"/>
    <w:rsid w:val="00672373"/>
    <w:rsid w:val="00674553"/>
    <w:rsid w:val="006752C2"/>
    <w:rsid w:val="006755A4"/>
    <w:rsid w:val="0069422C"/>
    <w:rsid w:val="006B177D"/>
    <w:rsid w:val="006C238A"/>
    <w:rsid w:val="006C542B"/>
    <w:rsid w:val="006D69EF"/>
    <w:rsid w:val="006E618B"/>
    <w:rsid w:val="006F3B3C"/>
    <w:rsid w:val="007000FC"/>
    <w:rsid w:val="00703B96"/>
    <w:rsid w:val="007070E0"/>
    <w:rsid w:val="00722433"/>
    <w:rsid w:val="0072399B"/>
    <w:rsid w:val="00730E35"/>
    <w:rsid w:val="00730F40"/>
    <w:rsid w:val="0075115F"/>
    <w:rsid w:val="00757310"/>
    <w:rsid w:val="0076057F"/>
    <w:rsid w:val="00774A1B"/>
    <w:rsid w:val="007753BC"/>
    <w:rsid w:val="00790855"/>
    <w:rsid w:val="00796EE8"/>
    <w:rsid w:val="007A04EC"/>
    <w:rsid w:val="007A1653"/>
    <w:rsid w:val="007A53D1"/>
    <w:rsid w:val="007A6EDA"/>
    <w:rsid w:val="007A7697"/>
    <w:rsid w:val="007B4729"/>
    <w:rsid w:val="007C1573"/>
    <w:rsid w:val="007C571C"/>
    <w:rsid w:val="007C6903"/>
    <w:rsid w:val="007C7B03"/>
    <w:rsid w:val="007D763F"/>
    <w:rsid w:val="007D7F47"/>
    <w:rsid w:val="007E1A4A"/>
    <w:rsid w:val="007E523D"/>
    <w:rsid w:val="007F7A69"/>
    <w:rsid w:val="00807FB8"/>
    <w:rsid w:val="008104DD"/>
    <w:rsid w:val="00812DE8"/>
    <w:rsid w:val="00813751"/>
    <w:rsid w:val="00816C80"/>
    <w:rsid w:val="008175EE"/>
    <w:rsid w:val="00825516"/>
    <w:rsid w:val="00825DD0"/>
    <w:rsid w:val="008277A2"/>
    <w:rsid w:val="008454AD"/>
    <w:rsid w:val="008632F8"/>
    <w:rsid w:val="008704CB"/>
    <w:rsid w:val="00884E52"/>
    <w:rsid w:val="00891343"/>
    <w:rsid w:val="008923F9"/>
    <w:rsid w:val="0089341C"/>
    <w:rsid w:val="00896850"/>
    <w:rsid w:val="008A2E8F"/>
    <w:rsid w:val="008A759C"/>
    <w:rsid w:val="008A7C9B"/>
    <w:rsid w:val="008B43FB"/>
    <w:rsid w:val="008B649E"/>
    <w:rsid w:val="008C126E"/>
    <w:rsid w:val="008C299F"/>
    <w:rsid w:val="008C389A"/>
    <w:rsid w:val="008D0B2E"/>
    <w:rsid w:val="008D4CBC"/>
    <w:rsid w:val="008E061F"/>
    <w:rsid w:val="008F5D9A"/>
    <w:rsid w:val="00906B3F"/>
    <w:rsid w:val="00912B31"/>
    <w:rsid w:val="009152FE"/>
    <w:rsid w:val="00924942"/>
    <w:rsid w:val="0092616F"/>
    <w:rsid w:val="00926D9C"/>
    <w:rsid w:val="009303C1"/>
    <w:rsid w:val="009325DB"/>
    <w:rsid w:val="00935B3A"/>
    <w:rsid w:val="00937149"/>
    <w:rsid w:val="0094138B"/>
    <w:rsid w:val="009560D2"/>
    <w:rsid w:val="00972043"/>
    <w:rsid w:val="00977B72"/>
    <w:rsid w:val="009829FF"/>
    <w:rsid w:val="00993962"/>
    <w:rsid w:val="009B0A9B"/>
    <w:rsid w:val="009B51EE"/>
    <w:rsid w:val="009B62AC"/>
    <w:rsid w:val="009B6993"/>
    <w:rsid w:val="009B6CF9"/>
    <w:rsid w:val="009B7D78"/>
    <w:rsid w:val="009C036C"/>
    <w:rsid w:val="009C5183"/>
    <w:rsid w:val="009C5FD0"/>
    <w:rsid w:val="009D0D96"/>
    <w:rsid w:val="009D11FA"/>
    <w:rsid w:val="009E70EA"/>
    <w:rsid w:val="009F00D6"/>
    <w:rsid w:val="009F1C1C"/>
    <w:rsid w:val="009F4428"/>
    <w:rsid w:val="009F690D"/>
    <w:rsid w:val="00A03A06"/>
    <w:rsid w:val="00A10E92"/>
    <w:rsid w:val="00A13316"/>
    <w:rsid w:val="00A22672"/>
    <w:rsid w:val="00A33992"/>
    <w:rsid w:val="00A33E3F"/>
    <w:rsid w:val="00A357DD"/>
    <w:rsid w:val="00A37666"/>
    <w:rsid w:val="00A457F4"/>
    <w:rsid w:val="00A45994"/>
    <w:rsid w:val="00A46DDF"/>
    <w:rsid w:val="00A506FF"/>
    <w:rsid w:val="00A50C4B"/>
    <w:rsid w:val="00A57F7D"/>
    <w:rsid w:val="00A60AD4"/>
    <w:rsid w:val="00A72FE0"/>
    <w:rsid w:val="00A7455F"/>
    <w:rsid w:val="00A757FA"/>
    <w:rsid w:val="00AA5ED2"/>
    <w:rsid w:val="00AB06AC"/>
    <w:rsid w:val="00AB54A0"/>
    <w:rsid w:val="00AC2322"/>
    <w:rsid w:val="00AD4FC0"/>
    <w:rsid w:val="00AD6065"/>
    <w:rsid w:val="00AE2F3F"/>
    <w:rsid w:val="00AE59C1"/>
    <w:rsid w:val="00AE67D2"/>
    <w:rsid w:val="00B01048"/>
    <w:rsid w:val="00B11288"/>
    <w:rsid w:val="00B2291F"/>
    <w:rsid w:val="00B245C8"/>
    <w:rsid w:val="00B25A4A"/>
    <w:rsid w:val="00B33459"/>
    <w:rsid w:val="00B36967"/>
    <w:rsid w:val="00B37B4A"/>
    <w:rsid w:val="00B413F3"/>
    <w:rsid w:val="00B41FDE"/>
    <w:rsid w:val="00B46F30"/>
    <w:rsid w:val="00B50CF1"/>
    <w:rsid w:val="00B6189F"/>
    <w:rsid w:val="00B64BB6"/>
    <w:rsid w:val="00B71850"/>
    <w:rsid w:val="00B75CD3"/>
    <w:rsid w:val="00B76C2B"/>
    <w:rsid w:val="00B7749A"/>
    <w:rsid w:val="00B82B37"/>
    <w:rsid w:val="00B87648"/>
    <w:rsid w:val="00B914F0"/>
    <w:rsid w:val="00B96A31"/>
    <w:rsid w:val="00BA143C"/>
    <w:rsid w:val="00BA2D10"/>
    <w:rsid w:val="00BB7989"/>
    <w:rsid w:val="00BC7B4F"/>
    <w:rsid w:val="00BD50C3"/>
    <w:rsid w:val="00BD5676"/>
    <w:rsid w:val="00BE3C54"/>
    <w:rsid w:val="00BE4250"/>
    <w:rsid w:val="00BE66CB"/>
    <w:rsid w:val="00BF31D3"/>
    <w:rsid w:val="00C00999"/>
    <w:rsid w:val="00C1423A"/>
    <w:rsid w:val="00C1497B"/>
    <w:rsid w:val="00C16048"/>
    <w:rsid w:val="00C16256"/>
    <w:rsid w:val="00C21739"/>
    <w:rsid w:val="00C2277F"/>
    <w:rsid w:val="00C25EA1"/>
    <w:rsid w:val="00C54D1D"/>
    <w:rsid w:val="00C5663B"/>
    <w:rsid w:val="00C56A4B"/>
    <w:rsid w:val="00C62052"/>
    <w:rsid w:val="00C62FF7"/>
    <w:rsid w:val="00C64F57"/>
    <w:rsid w:val="00C712BE"/>
    <w:rsid w:val="00C84F0C"/>
    <w:rsid w:val="00C92CD8"/>
    <w:rsid w:val="00C955ED"/>
    <w:rsid w:val="00C96D06"/>
    <w:rsid w:val="00CA096B"/>
    <w:rsid w:val="00CA09FF"/>
    <w:rsid w:val="00CA4D4A"/>
    <w:rsid w:val="00CB66CB"/>
    <w:rsid w:val="00CB7EC0"/>
    <w:rsid w:val="00CC0519"/>
    <w:rsid w:val="00CC146A"/>
    <w:rsid w:val="00CC69EF"/>
    <w:rsid w:val="00CD12BD"/>
    <w:rsid w:val="00CD481F"/>
    <w:rsid w:val="00CD57EF"/>
    <w:rsid w:val="00CD7832"/>
    <w:rsid w:val="00CE3CA1"/>
    <w:rsid w:val="00CF449D"/>
    <w:rsid w:val="00CF6581"/>
    <w:rsid w:val="00D0342C"/>
    <w:rsid w:val="00D0478B"/>
    <w:rsid w:val="00D1090D"/>
    <w:rsid w:val="00D23A53"/>
    <w:rsid w:val="00D2702A"/>
    <w:rsid w:val="00D32800"/>
    <w:rsid w:val="00D347EE"/>
    <w:rsid w:val="00D354D2"/>
    <w:rsid w:val="00D40284"/>
    <w:rsid w:val="00D40A39"/>
    <w:rsid w:val="00D41205"/>
    <w:rsid w:val="00D50492"/>
    <w:rsid w:val="00D52A4F"/>
    <w:rsid w:val="00D5678E"/>
    <w:rsid w:val="00D60284"/>
    <w:rsid w:val="00D62043"/>
    <w:rsid w:val="00D63913"/>
    <w:rsid w:val="00D63B1C"/>
    <w:rsid w:val="00D63E25"/>
    <w:rsid w:val="00D75D04"/>
    <w:rsid w:val="00D803D8"/>
    <w:rsid w:val="00D8232C"/>
    <w:rsid w:val="00D974C9"/>
    <w:rsid w:val="00DA0970"/>
    <w:rsid w:val="00DB0BDD"/>
    <w:rsid w:val="00DB2965"/>
    <w:rsid w:val="00DB2D00"/>
    <w:rsid w:val="00DB7BC2"/>
    <w:rsid w:val="00DC2E1B"/>
    <w:rsid w:val="00DC384B"/>
    <w:rsid w:val="00DC4330"/>
    <w:rsid w:val="00DC4609"/>
    <w:rsid w:val="00DC63B6"/>
    <w:rsid w:val="00DD07C1"/>
    <w:rsid w:val="00DD4BF3"/>
    <w:rsid w:val="00DE215C"/>
    <w:rsid w:val="00DF0977"/>
    <w:rsid w:val="00E15732"/>
    <w:rsid w:val="00E1657F"/>
    <w:rsid w:val="00E344CD"/>
    <w:rsid w:val="00E351A4"/>
    <w:rsid w:val="00E4422A"/>
    <w:rsid w:val="00E4481D"/>
    <w:rsid w:val="00E44F24"/>
    <w:rsid w:val="00E45EBB"/>
    <w:rsid w:val="00E554B6"/>
    <w:rsid w:val="00E62F5A"/>
    <w:rsid w:val="00E8225A"/>
    <w:rsid w:val="00E854A8"/>
    <w:rsid w:val="00E85B99"/>
    <w:rsid w:val="00E915BD"/>
    <w:rsid w:val="00E9385F"/>
    <w:rsid w:val="00E93EB4"/>
    <w:rsid w:val="00E94A68"/>
    <w:rsid w:val="00E96D94"/>
    <w:rsid w:val="00E970A0"/>
    <w:rsid w:val="00EB0684"/>
    <w:rsid w:val="00EB07E2"/>
    <w:rsid w:val="00EB6EEE"/>
    <w:rsid w:val="00EB7D33"/>
    <w:rsid w:val="00EC1416"/>
    <w:rsid w:val="00EC6845"/>
    <w:rsid w:val="00EC7E5C"/>
    <w:rsid w:val="00ED0C6B"/>
    <w:rsid w:val="00EE0692"/>
    <w:rsid w:val="00EE19F6"/>
    <w:rsid w:val="00EE1AED"/>
    <w:rsid w:val="00EE4B65"/>
    <w:rsid w:val="00EE6931"/>
    <w:rsid w:val="00EE76FD"/>
    <w:rsid w:val="00EF08C6"/>
    <w:rsid w:val="00F05A03"/>
    <w:rsid w:val="00F154F5"/>
    <w:rsid w:val="00F1609F"/>
    <w:rsid w:val="00F20510"/>
    <w:rsid w:val="00F21B6D"/>
    <w:rsid w:val="00F235A9"/>
    <w:rsid w:val="00F407A4"/>
    <w:rsid w:val="00F40A59"/>
    <w:rsid w:val="00F52719"/>
    <w:rsid w:val="00F53E3F"/>
    <w:rsid w:val="00F57E12"/>
    <w:rsid w:val="00F61DF1"/>
    <w:rsid w:val="00F7184A"/>
    <w:rsid w:val="00F7283A"/>
    <w:rsid w:val="00F82D40"/>
    <w:rsid w:val="00F837B1"/>
    <w:rsid w:val="00FA19CA"/>
    <w:rsid w:val="00FC65BB"/>
    <w:rsid w:val="00FD5629"/>
    <w:rsid w:val="00FE19FF"/>
    <w:rsid w:val="00FE7E00"/>
    <w:rsid w:val="00FF323B"/>
    <w:rsid w:val="00FF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7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1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673F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2673FF"/>
    <w:pPr>
      <w:ind w:left="720"/>
      <w:contextualSpacing/>
    </w:pPr>
  </w:style>
  <w:style w:type="paragraph" w:styleId="NormalWeb">
    <w:name w:val="Normal (Web)"/>
    <w:aliases w:val="Char Char Char"/>
    <w:basedOn w:val="Normal"/>
    <w:link w:val="NormalWebChar"/>
    <w:uiPriority w:val="99"/>
    <w:unhideWhenUsed/>
    <w:qFormat/>
    <w:rsid w:val="00344F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q2pgselectionanchorcontainer">
    <w:name w:val="pdq2pg_selectionanchorcontainer"/>
    <w:basedOn w:val="Normal"/>
    <w:rsid w:val="00344F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0E35"/>
    <w:rPr>
      <w:color w:val="0000FF"/>
      <w:u w:val="single"/>
    </w:rPr>
  </w:style>
  <w:style w:type="paragraph" w:styleId="BodyText">
    <w:name w:val="Body Text"/>
    <w:basedOn w:val="Normal"/>
    <w:link w:val="BodyTextChar"/>
    <w:qFormat/>
    <w:rsid w:val="001E3A0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1E3A09"/>
    <w:rPr>
      <w:rFonts w:eastAsia="Times New Roman" w:cs="Times New Roman"/>
      <w:szCs w:val="28"/>
    </w:rPr>
  </w:style>
  <w:style w:type="character" w:customStyle="1" w:styleId="NormalWebChar">
    <w:name w:val="Normal (Web) Char"/>
    <w:aliases w:val="Char Char Char Char"/>
    <w:link w:val="NormalWeb"/>
    <w:uiPriority w:val="99"/>
    <w:locked/>
    <w:rsid w:val="00B50CF1"/>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7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1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673F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2673FF"/>
    <w:pPr>
      <w:ind w:left="720"/>
      <w:contextualSpacing/>
    </w:pPr>
  </w:style>
  <w:style w:type="paragraph" w:styleId="NormalWeb">
    <w:name w:val="Normal (Web)"/>
    <w:aliases w:val="Char Char Char"/>
    <w:basedOn w:val="Normal"/>
    <w:link w:val="NormalWebChar"/>
    <w:uiPriority w:val="99"/>
    <w:unhideWhenUsed/>
    <w:qFormat/>
    <w:rsid w:val="00344F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q2pgselectionanchorcontainer">
    <w:name w:val="pdq2pg_selectionanchorcontainer"/>
    <w:basedOn w:val="Normal"/>
    <w:rsid w:val="00344F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0E35"/>
    <w:rPr>
      <w:color w:val="0000FF"/>
      <w:u w:val="single"/>
    </w:rPr>
  </w:style>
  <w:style w:type="paragraph" w:styleId="BodyText">
    <w:name w:val="Body Text"/>
    <w:basedOn w:val="Normal"/>
    <w:link w:val="BodyTextChar"/>
    <w:qFormat/>
    <w:rsid w:val="001E3A0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1E3A09"/>
    <w:rPr>
      <w:rFonts w:eastAsia="Times New Roman" w:cs="Times New Roman"/>
      <w:szCs w:val="28"/>
    </w:rPr>
  </w:style>
  <w:style w:type="character" w:customStyle="1" w:styleId="NormalWebChar">
    <w:name w:val="Normal (Web) Char"/>
    <w:aliases w:val="Char Char Char Char"/>
    <w:link w:val="NormalWeb"/>
    <w:uiPriority w:val="99"/>
    <w:locked/>
    <w:rsid w:val="00B50CF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46165">
      <w:bodyDiv w:val="1"/>
      <w:marLeft w:val="0"/>
      <w:marRight w:val="0"/>
      <w:marTop w:val="0"/>
      <w:marBottom w:val="0"/>
      <w:divBdr>
        <w:top w:val="none" w:sz="0" w:space="0" w:color="auto"/>
        <w:left w:val="none" w:sz="0" w:space="0" w:color="auto"/>
        <w:bottom w:val="none" w:sz="0" w:space="0" w:color="auto"/>
        <w:right w:val="none" w:sz="0" w:space="0" w:color="auto"/>
      </w:divBdr>
      <w:divsChild>
        <w:div w:id="436364221">
          <w:marLeft w:val="0"/>
          <w:marRight w:val="0"/>
          <w:marTop w:val="0"/>
          <w:marBottom w:val="0"/>
          <w:divBdr>
            <w:top w:val="none" w:sz="0" w:space="0" w:color="auto"/>
            <w:left w:val="none" w:sz="0" w:space="0" w:color="auto"/>
            <w:bottom w:val="none" w:sz="0" w:space="0" w:color="auto"/>
            <w:right w:val="none" w:sz="0" w:space="0" w:color="auto"/>
          </w:divBdr>
          <w:divsChild>
            <w:div w:id="1919898127">
              <w:marLeft w:val="0"/>
              <w:marRight w:val="0"/>
              <w:marTop w:val="0"/>
              <w:marBottom w:val="0"/>
              <w:divBdr>
                <w:top w:val="none" w:sz="0" w:space="0" w:color="auto"/>
                <w:left w:val="none" w:sz="0" w:space="0" w:color="auto"/>
                <w:bottom w:val="none" w:sz="0" w:space="0" w:color="auto"/>
                <w:right w:val="none" w:sz="0" w:space="0" w:color="auto"/>
              </w:divBdr>
              <w:divsChild>
                <w:div w:id="231426863">
                  <w:marLeft w:val="0"/>
                  <w:marRight w:val="0"/>
                  <w:marTop w:val="0"/>
                  <w:marBottom w:val="0"/>
                  <w:divBdr>
                    <w:top w:val="none" w:sz="0" w:space="0" w:color="auto"/>
                    <w:left w:val="none" w:sz="0" w:space="0" w:color="auto"/>
                    <w:bottom w:val="none" w:sz="0" w:space="0" w:color="auto"/>
                    <w:right w:val="none" w:sz="0" w:space="0" w:color="auto"/>
                  </w:divBdr>
                  <w:divsChild>
                    <w:div w:id="2007902798">
                      <w:marLeft w:val="0"/>
                      <w:marRight w:val="0"/>
                      <w:marTop w:val="0"/>
                      <w:marBottom w:val="0"/>
                      <w:divBdr>
                        <w:top w:val="none" w:sz="0" w:space="0" w:color="auto"/>
                        <w:left w:val="none" w:sz="0" w:space="0" w:color="auto"/>
                        <w:bottom w:val="none" w:sz="0" w:space="0" w:color="auto"/>
                        <w:right w:val="none" w:sz="0" w:space="0" w:color="auto"/>
                      </w:divBdr>
                      <w:divsChild>
                        <w:div w:id="1132290952">
                          <w:marLeft w:val="0"/>
                          <w:marRight w:val="0"/>
                          <w:marTop w:val="0"/>
                          <w:marBottom w:val="0"/>
                          <w:divBdr>
                            <w:top w:val="none" w:sz="0" w:space="0" w:color="auto"/>
                            <w:left w:val="none" w:sz="0" w:space="0" w:color="auto"/>
                            <w:bottom w:val="none" w:sz="0" w:space="0" w:color="auto"/>
                            <w:right w:val="none" w:sz="0" w:space="0" w:color="auto"/>
                          </w:divBdr>
                          <w:divsChild>
                            <w:div w:id="1338579498">
                              <w:marLeft w:val="0"/>
                              <w:marRight w:val="0"/>
                              <w:marTop w:val="0"/>
                              <w:marBottom w:val="0"/>
                              <w:divBdr>
                                <w:top w:val="none" w:sz="0" w:space="0" w:color="auto"/>
                                <w:left w:val="none" w:sz="0" w:space="0" w:color="auto"/>
                                <w:bottom w:val="none" w:sz="0" w:space="0" w:color="auto"/>
                                <w:right w:val="none" w:sz="0" w:space="0" w:color="auto"/>
                              </w:divBdr>
                              <w:divsChild>
                                <w:div w:id="37314936">
                                  <w:marLeft w:val="0"/>
                                  <w:marRight w:val="0"/>
                                  <w:marTop w:val="0"/>
                                  <w:marBottom w:val="0"/>
                                  <w:divBdr>
                                    <w:top w:val="none" w:sz="0" w:space="0" w:color="auto"/>
                                    <w:left w:val="none" w:sz="0" w:space="0" w:color="auto"/>
                                    <w:bottom w:val="none" w:sz="0" w:space="0" w:color="auto"/>
                                    <w:right w:val="none" w:sz="0" w:space="0" w:color="auto"/>
                                  </w:divBdr>
                                  <w:divsChild>
                                    <w:div w:id="866020435">
                                      <w:marLeft w:val="0"/>
                                      <w:marRight w:val="0"/>
                                      <w:marTop w:val="0"/>
                                      <w:marBottom w:val="0"/>
                                      <w:divBdr>
                                        <w:top w:val="none" w:sz="0" w:space="0" w:color="auto"/>
                                        <w:left w:val="none" w:sz="0" w:space="0" w:color="auto"/>
                                        <w:bottom w:val="none" w:sz="0" w:space="0" w:color="auto"/>
                                        <w:right w:val="none" w:sz="0" w:space="0" w:color="auto"/>
                                      </w:divBdr>
                                      <w:divsChild>
                                        <w:div w:id="701973740">
                                          <w:marLeft w:val="0"/>
                                          <w:marRight w:val="0"/>
                                          <w:marTop w:val="0"/>
                                          <w:marBottom w:val="0"/>
                                          <w:divBdr>
                                            <w:top w:val="none" w:sz="0" w:space="0" w:color="auto"/>
                                            <w:left w:val="none" w:sz="0" w:space="0" w:color="auto"/>
                                            <w:bottom w:val="none" w:sz="0" w:space="0" w:color="auto"/>
                                            <w:right w:val="none" w:sz="0" w:space="0" w:color="auto"/>
                                          </w:divBdr>
                                          <w:divsChild>
                                            <w:div w:id="628783157">
                                              <w:marLeft w:val="0"/>
                                              <w:marRight w:val="0"/>
                                              <w:marTop w:val="0"/>
                                              <w:marBottom w:val="0"/>
                                              <w:divBdr>
                                                <w:top w:val="none" w:sz="0" w:space="0" w:color="auto"/>
                                                <w:left w:val="none" w:sz="0" w:space="0" w:color="auto"/>
                                                <w:bottom w:val="none" w:sz="0" w:space="0" w:color="auto"/>
                                                <w:right w:val="none" w:sz="0" w:space="0" w:color="auto"/>
                                              </w:divBdr>
                                              <w:divsChild>
                                                <w:div w:id="1445924836">
                                                  <w:marLeft w:val="0"/>
                                                  <w:marRight w:val="0"/>
                                                  <w:marTop w:val="0"/>
                                                  <w:marBottom w:val="0"/>
                                                  <w:divBdr>
                                                    <w:top w:val="none" w:sz="0" w:space="0" w:color="auto"/>
                                                    <w:left w:val="none" w:sz="0" w:space="0" w:color="auto"/>
                                                    <w:bottom w:val="none" w:sz="0" w:space="0" w:color="auto"/>
                                                    <w:right w:val="none" w:sz="0" w:space="0" w:color="auto"/>
                                                  </w:divBdr>
                                                  <w:divsChild>
                                                    <w:div w:id="2138404531">
                                                      <w:marLeft w:val="0"/>
                                                      <w:marRight w:val="0"/>
                                                      <w:marTop w:val="0"/>
                                                      <w:marBottom w:val="0"/>
                                                      <w:divBdr>
                                                        <w:top w:val="none" w:sz="0" w:space="0" w:color="auto"/>
                                                        <w:left w:val="none" w:sz="0" w:space="0" w:color="auto"/>
                                                        <w:bottom w:val="none" w:sz="0" w:space="0" w:color="auto"/>
                                                        <w:right w:val="none" w:sz="0" w:space="0" w:color="auto"/>
                                                      </w:divBdr>
                                                      <w:divsChild>
                                                        <w:div w:id="1399399873">
                                                          <w:marLeft w:val="0"/>
                                                          <w:marRight w:val="0"/>
                                                          <w:marTop w:val="0"/>
                                                          <w:marBottom w:val="0"/>
                                                          <w:divBdr>
                                                            <w:top w:val="none" w:sz="0" w:space="0" w:color="auto"/>
                                                            <w:left w:val="none" w:sz="0" w:space="0" w:color="auto"/>
                                                            <w:bottom w:val="none" w:sz="0" w:space="0" w:color="auto"/>
                                                            <w:right w:val="none" w:sz="0" w:space="0" w:color="auto"/>
                                                          </w:divBdr>
                                                          <w:divsChild>
                                                            <w:div w:id="1164781459">
                                                              <w:marLeft w:val="0"/>
                                                              <w:marRight w:val="0"/>
                                                              <w:marTop w:val="0"/>
                                                              <w:marBottom w:val="0"/>
                                                              <w:divBdr>
                                                                <w:top w:val="none" w:sz="0" w:space="0" w:color="auto"/>
                                                                <w:left w:val="none" w:sz="0" w:space="0" w:color="auto"/>
                                                                <w:bottom w:val="none" w:sz="0" w:space="0" w:color="auto"/>
                                                                <w:right w:val="none" w:sz="0" w:space="0" w:color="auto"/>
                                                              </w:divBdr>
                                                              <w:divsChild>
                                                                <w:div w:id="272173102">
                                                                  <w:marLeft w:val="0"/>
                                                                  <w:marRight w:val="0"/>
                                                                  <w:marTop w:val="0"/>
                                                                  <w:marBottom w:val="0"/>
                                                                  <w:divBdr>
                                                                    <w:top w:val="none" w:sz="0" w:space="0" w:color="auto"/>
                                                                    <w:left w:val="none" w:sz="0" w:space="0" w:color="auto"/>
                                                                    <w:bottom w:val="none" w:sz="0" w:space="0" w:color="auto"/>
                                                                    <w:right w:val="none" w:sz="0" w:space="0" w:color="auto"/>
                                                                  </w:divBdr>
                                                                  <w:divsChild>
                                                                    <w:div w:id="877012251">
                                                                      <w:marLeft w:val="0"/>
                                                                      <w:marRight w:val="0"/>
                                                                      <w:marTop w:val="0"/>
                                                                      <w:marBottom w:val="0"/>
                                                                      <w:divBdr>
                                                                        <w:top w:val="none" w:sz="0" w:space="0" w:color="auto"/>
                                                                        <w:left w:val="none" w:sz="0" w:space="0" w:color="auto"/>
                                                                        <w:bottom w:val="none" w:sz="0" w:space="0" w:color="auto"/>
                                                                        <w:right w:val="none" w:sz="0" w:space="0" w:color="auto"/>
                                                                      </w:divBdr>
                                                                      <w:divsChild>
                                                                        <w:div w:id="3181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766598">
                                      <w:marLeft w:val="0"/>
                                      <w:marRight w:val="0"/>
                                      <w:marTop w:val="0"/>
                                      <w:marBottom w:val="0"/>
                                      <w:divBdr>
                                        <w:top w:val="none" w:sz="0" w:space="0" w:color="auto"/>
                                        <w:left w:val="none" w:sz="0" w:space="0" w:color="auto"/>
                                        <w:bottom w:val="none" w:sz="0" w:space="0" w:color="auto"/>
                                        <w:right w:val="none" w:sz="0" w:space="0" w:color="auto"/>
                                      </w:divBdr>
                                      <w:divsChild>
                                        <w:div w:id="216203614">
                                          <w:marLeft w:val="0"/>
                                          <w:marRight w:val="0"/>
                                          <w:marTop w:val="0"/>
                                          <w:marBottom w:val="0"/>
                                          <w:divBdr>
                                            <w:top w:val="none" w:sz="0" w:space="0" w:color="auto"/>
                                            <w:left w:val="none" w:sz="0" w:space="0" w:color="auto"/>
                                            <w:bottom w:val="none" w:sz="0" w:space="0" w:color="auto"/>
                                            <w:right w:val="none" w:sz="0" w:space="0" w:color="auto"/>
                                          </w:divBdr>
                                          <w:divsChild>
                                            <w:div w:id="767312858">
                                              <w:marLeft w:val="0"/>
                                              <w:marRight w:val="0"/>
                                              <w:marTop w:val="0"/>
                                              <w:marBottom w:val="0"/>
                                              <w:divBdr>
                                                <w:top w:val="none" w:sz="0" w:space="0" w:color="auto"/>
                                                <w:left w:val="none" w:sz="0" w:space="0" w:color="auto"/>
                                                <w:bottom w:val="none" w:sz="0" w:space="0" w:color="auto"/>
                                                <w:right w:val="none" w:sz="0" w:space="0" w:color="auto"/>
                                              </w:divBdr>
                                              <w:divsChild>
                                                <w:div w:id="550771658">
                                                  <w:marLeft w:val="0"/>
                                                  <w:marRight w:val="0"/>
                                                  <w:marTop w:val="0"/>
                                                  <w:marBottom w:val="0"/>
                                                  <w:divBdr>
                                                    <w:top w:val="none" w:sz="0" w:space="0" w:color="auto"/>
                                                    <w:left w:val="none" w:sz="0" w:space="0" w:color="auto"/>
                                                    <w:bottom w:val="none" w:sz="0" w:space="0" w:color="auto"/>
                                                    <w:right w:val="none" w:sz="0" w:space="0" w:color="auto"/>
                                                  </w:divBdr>
                                                  <w:divsChild>
                                                    <w:div w:id="2073037479">
                                                      <w:marLeft w:val="0"/>
                                                      <w:marRight w:val="0"/>
                                                      <w:marTop w:val="0"/>
                                                      <w:marBottom w:val="0"/>
                                                      <w:divBdr>
                                                        <w:top w:val="none" w:sz="0" w:space="0" w:color="auto"/>
                                                        <w:left w:val="none" w:sz="0" w:space="0" w:color="auto"/>
                                                        <w:bottom w:val="none" w:sz="0" w:space="0" w:color="auto"/>
                                                        <w:right w:val="none" w:sz="0" w:space="0" w:color="auto"/>
                                                      </w:divBdr>
                                                      <w:divsChild>
                                                        <w:div w:id="1137332293">
                                                          <w:marLeft w:val="0"/>
                                                          <w:marRight w:val="0"/>
                                                          <w:marTop w:val="0"/>
                                                          <w:marBottom w:val="0"/>
                                                          <w:divBdr>
                                                            <w:top w:val="none" w:sz="0" w:space="0" w:color="auto"/>
                                                            <w:left w:val="none" w:sz="0" w:space="0" w:color="auto"/>
                                                            <w:bottom w:val="none" w:sz="0" w:space="0" w:color="auto"/>
                                                            <w:right w:val="none" w:sz="0" w:space="0" w:color="auto"/>
                                                          </w:divBdr>
                                                          <w:divsChild>
                                                            <w:div w:id="1510368154">
                                                              <w:marLeft w:val="0"/>
                                                              <w:marRight w:val="0"/>
                                                              <w:marTop w:val="0"/>
                                                              <w:marBottom w:val="0"/>
                                                              <w:divBdr>
                                                                <w:top w:val="none" w:sz="0" w:space="0" w:color="auto"/>
                                                                <w:left w:val="none" w:sz="0" w:space="0" w:color="auto"/>
                                                                <w:bottom w:val="none" w:sz="0" w:space="0" w:color="auto"/>
                                                                <w:right w:val="none" w:sz="0" w:space="0" w:color="auto"/>
                                                              </w:divBdr>
                                                              <w:divsChild>
                                                                <w:div w:id="482161737">
                                                                  <w:marLeft w:val="0"/>
                                                                  <w:marRight w:val="0"/>
                                                                  <w:marTop w:val="0"/>
                                                                  <w:marBottom w:val="0"/>
                                                                  <w:divBdr>
                                                                    <w:top w:val="none" w:sz="0" w:space="0" w:color="auto"/>
                                                                    <w:left w:val="none" w:sz="0" w:space="0" w:color="auto"/>
                                                                    <w:bottom w:val="none" w:sz="0" w:space="0" w:color="auto"/>
                                                                    <w:right w:val="none" w:sz="0" w:space="0" w:color="auto"/>
                                                                  </w:divBdr>
                                                                  <w:divsChild>
                                                                    <w:div w:id="229922152">
                                                                      <w:marLeft w:val="0"/>
                                                                      <w:marRight w:val="0"/>
                                                                      <w:marTop w:val="0"/>
                                                                      <w:marBottom w:val="0"/>
                                                                      <w:divBdr>
                                                                        <w:top w:val="none" w:sz="0" w:space="0" w:color="auto"/>
                                                                        <w:left w:val="none" w:sz="0" w:space="0" w:color="auto"/>
                                                                        <w:bottom w:val="none" w:sz="0" w:space="0" w:color="auto"/>
                                                                        <w:right w:val="none" w:sz="0" w:space="0" w:color="auto"/>
                                                                      </w:divBdr>
                                                                      <w:divsChild>
                                                                        <w:div w:id="966206657">
                                                                          <w:marLeft w:val="0"/>
                                                                          <w:marRight w:val="0"/>
                                                                          <w:marTop w:val="0"/>
                                                                          <w:marBottom w:val="0"/>
                                                                          <w:divBdr>
                                                                            <w:top w:val="none" w:sz="0" w:space="0" w:color="auto"/>
                                                                            <w:left w:val="none" w:sz="0" w:space="0" w:color="auto"/>
                                                                            <w:bottom w:val="none" w:sz="0" w:space="0" w:color="auto"/>
                                                                            <w:right w:val="none" w:sz="0" w:space="0" w:color="auto"/>
                                                                          </w:divBdr>
                                                                          <w:divsChild>
                                                                            <w:div w:id="2132283364">
                                                                              <w:marLeft w:val="0"/>
                                                                              <w:marRight w:val="0"/>
                                                                              <w:marTop w:val="0"/>
                                                                              <w:marBottom w:val="0"/>
                                                                              <w:divBdr>
                                                                                <w:top w:val="none" w:sz="0" w:space="0" w:color="auto"/>
                                                                                <w:left w:val="none" w:sz="0" w:space="0" w:color="auto"/>
                                                                                <w:bottom w:val="none" w:sz="0" w:space="0" w:color="auto"/>
                                                                                <w:right w:val="none" w:sz="0" w:space="0" w:color="auto"/>
                                                                              </w:divBdr>
                                                                              <w:divsChild>
                                                                                <w:div w:id="685714024">
                                                                                  <w:marLeft w:val="0"/>
                                                                                  <w:marRight w:val="0"/>
                                                                                  <w:marTop w:val="0"/>
                                                                                  <w:marBottom w:val="0"/>
                                                                                  <w:divBdr>
                                                                                    <w:top w:val="none" w:sz="0" w:space="0" w:color="auto"/>
                                                                                    <w:left w:val="none" w:sz="0" w:space="0" w:color="auto"/>
                                                                                    <w:bottom w:val="none" w:sz="0" w:space="0" w:color="auto"/>
                                                                                    <w:right w:val="none" w:sz="0" w:space="0" w:color="auto"/>
                                                                                  </w:divBdr>
                                                                                  <w:divsChild>
                                                                                    <w:div w:id="13058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825061">
          <w:marLeft w:val="0"/>
          <w:marRight w:val="0"/>
          <w:marTop w:val="0"/>
          <w:marBottom w:val="0"/>
          <w:divBdr>
            <w:top w:val="none" w:sz="0" w:space="0" w:color="auto"/>
            <w:left w:val="none" w:sz="0" w:space="0" w:color="auto"/>
            <w:bottom w:val="none" w:sz="0" w:space="0" w:color="auto"/>
            <w:right w:val="none" w:sz="0" w:space="0" w:color="auto"/>
          </w:divBdr>
          <w:divsChild>
            <w:div w:id="790787172">
              <w:marLeft w:val="0"/>
              <w:marRight w:val="0"/>
              <w:marTop w:val="0"/>
              <w:marBottom w:val="0"/>
              <w:divBdr>
                <w:top w:val="none" w:sz="0" w:space="0" w:color="auto"/>
                <w:left w:val="none" w:sz="0" w:space="0" w:color="auto"/>
                <w:bottom w:val="none" w:sz="0" w:space="0" w:color="auto"/>
                <w:right w:val="none" w:sz="0" w:space="0" w:color="auto"/>
              </w:divBdr>
              <w:divsChild>
                <w:div w:id="154810229">
                  <w:marLeft w:val="0"/>
                  <w:marRight w:val="0"/>
                  <w:marTop w:val="0"/>
                  <w:marBottom w:val="0"/>
                  <w:divBdr>
                    <w:top w:val="none" w:sz="0" w:space="0" w:color="auto"/>
                    <w:left w:val="none" w:sz="0" w:space="0" w:color="auto"/>
                    <w:bottom w:val="none" w:sz="0" w:space="0" w:color="auto"/>
                    <w:right w:val="none" w:sz="0" w:space="0" w:color="auto"/>
                  </w:divBdr>
                  <w:divsChild>
                    <w:div w:id="1392463911">
                      <w:marLeft w:val="0"/>
                      <w:marRight w:val="0"/>
                      <w:marTop w:val="0"/>
                      <w:marBottom w:val="0"/>
                      <w:divBdr>
                        <w:top w:val="none" w:sz="0" w:space="0" w:color="auto"/>
                        <w:left w:val="none" w:sz="0" w:space="0" w:color="auto"/>
                        <w:bottom w:val="none" w:sz="0" w:space="0" w:color="auto"/>
                        <w:right w:val="none" w:sz="0" w:space="0" w:color="auto"/>
                      </w:divBdr>
                      <w:divsChild>
                        <w:div w:id="597834782">
                          <w:marLeft w:val="0"/>
                          <w:marRight w:val="0"/>
                          <w:marTop w:val="0"/>
                          <w:marBottom w:val="0"/>
                          <w:divBdr>
                            <w:top w:val="none" w:sz="0" w:space="0" w:color="auto"/>
                            <w:left w:val="none" w:sz="0" w:space="0" w:color="auto"/>
                            <w:bottom w:val="none" w:sz="0" w:space="0" w:color="auto"/>
                            <w:right w:val="none" w:sz="0" w:space="0" w:color="auto"/>
                          </w:divBdr>
                          <w:divsChild>
                            <w:div w:id="423722861">
                              <w:marLeft w:val="0"/>
                              <w:marRight w:val="0"/>
                              <w:marTop w:val="0"/>
                              <w:marBottom w:val="0"/>
                              <w:divBdr>
                                <w:top w:val="none" w:sz="0" w:space="0" w:color="auto"/>
                                <w:left w:val="none" w:sz="0" w:space="0" w:color="auto"/>
                                <w:bottom w:val="none" w:sz="0" w:space="0" w:color="auto"/>
                                <w:right w:val="none" w:sz="0" w:space="0" w:color="auto"/>
                              </w:divBdr>
                              <w:divsChild>
                                <w:div w:id="1810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uatvietnam.vn/cong-nghiep/luat-dia-chat-va-khoang-san-2024-so-54-2024-qh15-380163-d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C783625-1F35-487C-9CC5-40E414F5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6773</Words>
  <Characters>38609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HOAHONG</dc:creator>
  <cp:lastModifiedBy>Windows User</cp:lastModifiedBy>
  <cp:revision>88</cp:revision>
  <dcterms:created xsi:type="dcterms:W3CDTF">2026-07-16T11:15:00Z</dcterms:created>
  <dcterms:modified xsi:type="dcterms:W3CDTF">2026-07-17T08:23:00Z</dcterms:modified>
</cp:coreProperties>
</file>